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before="0" w:beforeAutospacing="0" w:after="0" w:afterAutospacing="0" w:line="500" w:lineRule="exact"/>
        <w:jc w:val="center"/>
        <w:rPr>
          <w:rFonts w:ascii="黑体" w:hAnsi="黑体" w:eastAsia="黑体" w:cs="黑体"/>
          <w:b/>
          <w:bCs/>
          <w:sz w:val="36"/>
          <w:szCs w:val="36"/>
        </w:rPr>
      </w:pPr>
      <w:r>
        <w:rPr>
          <w:rStyle w:val="13"/>
          <w:rFonts w:hint="eastAsia" w:ascii="黑体" w:hAnsi="黑体" w:eastAsia="黑体" w:cs="黑体"/>
          <w:sz w:val="36"/>
          <w:szCs w:val="36"/>
        </w:rPr>
        <w:t>青岛理工大学机械与汽车工程学院</w:t>
      </w:r>
    </w:p>
    <w:p>
      <w:pPr>
        <w:pStyle w:val="9"/>
        <w:spacing w:before="0" w:beforeAutospacing="0" w:after="0" w:afterAutospacing="0" w:line="500" w:lineRule="exact"/>
        <w:jc w:val="center"/>
        <w:rPr>
          <w:rStyle w:val="13"/>
          <w:rFonts w:ascii="黑体" w:hAnsi="黑体" w:eastAsia="黑体" w:cs="黑体"/>
          <w:sz w:val="36"/>
          <w:szCs w:val="36"/>
        </w:rPr>
      </w:pPr>
      <w:r>
        <w:rPr>
          <w:rStyle w:val="13"/>
          <w:rFonts w:hint="eastAsia" w:ascii="黑体" w:hAnsi="黑体" w:eastAsia="黑体" w:cs="黑体"/>
          <w:sz w:val="36"/>
          <w:szCs w:val="36"/>
        </w:rPr>
        <w:t>推荐优秀应届本科毕业生免试攻读研究生实施细则</w:t>
      </w:r>
    </w:p>
    <w:p>
      <w:pPr>
        <w:pStyle w:val="9"/>
        <w:spacing w:before="0" w:beforeAutospacing="0" w:after="0" w:afterAutospacing="0" w:line="500" w:lineRule="exact"/>
        <w:jc w:val="center"/>
        <w:rPr>
          <w:rStyle w:val="13"/>
          <w:sz w:val="30"/>
          <w:szCs w:val="30"/>
        </w:rPr>
      </w:pPr>
    </w:p>
    <w:p>
      <w:pPr>
        <w:pStyle w:val="9"/>
        <w:spacing w:before="0" w:beforeAutospacing="0" w:after="0" w:afterAutospacing="0" w:line="500" w:lineRule="exact"/>
        <w:ind w:firstLine="482"/>
        <w:jc w:val="both"/>
        <w:rPr>
          <w:sz w:val="30"/>
          <w:szCs w:val="30"/>
        </w:rPr>
      </w:pPr>
      <w:r>
        <w:rPr>
          <w:rFonts w:hint="eastAsia"/>
          <w:sz w:val="30"/>
          <w:szCs w:val="30"/>
        </w:rPr>
        <w:t>为做好机械与汽车工程学院2022届推荐优秀应届本科毕业生免试攻读研究生（以下简称推免生）工作，激励学生勤奋学习、勇于创新，促进推免工作的规范化和制度化，确保优秀应届本科生被遴选为推免研究生。根据《关于进一步规范和加强推荐优秀应届本科毕业生免试攻读研究生工作的通知》、《青岛理工大学推荐优秀应届本科毕业生免试攻读研究生工作实施办法》（青理工校发〔2021〕33 号）等文件要求，结合学院实际情况，特制定学院推免生工作细则：</w:t>
      </w:r>
    </w:p>
    <w:p>
      <w:pPr>
        <w:pStyle w:val="9"/>
        <w:numPr>
          <w:ilvl w:val="0"/>
          <w:numId w:val="1"/>
        </w:numPr>
        <w:spacing w:before="0" w:beforeAutospacing="0" w:after="0" w:afterAutospacing="0" w:line="500" w:lineRule="exact"/>
        <w:jc w:val="both"/>
        <w:rPr>
          <w:rStyle w:val="13"/>
          <w:sz w:val="30"/>
          <w:szCs w:val="30"/>
        </w:rPr>
      </w:pPr>
      <w:r>
        <w:rPr>
          <w:rStyle w:val="13"/>
          <w:rFonts w:hint="eastAsia"/>
          <w:sz w:val="30"/>
          <w:szCs w:val="30"/>
        </w:rPr>
        <w:t>推免工作组织与领导</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sz w:val="30"/>
          <w:szCs w:val="30"/>
        </w:rPr>
      </w:pPr>
      <w:r>
        <w:rPr>
          <w:rFonts w:hint="eastAsia"/>
          <w:sz w:val="30"/>
          <w:szCs w:val="30"/>
        </w:rPr>
        <w:t>（一）学院成立推免生遴选工作小组，具体名单如下：</w:t>
      </w:r>
    </w:p>
    <w:p>
      <w:pPr>
        <w:pStyle w:val="9"/>
        <w:spacing w:before="0" w:beforeAutospacing="0" w:after="0" w:afterAutospacing="0" w:line="500" w:lineRule="exact"/>
        <w:ind w:firstLine="480"/>
        <w:jc w:val="both"/>
        <w:rPr>
          <w:sz w:val="30"/>
          <w:szCs w:val="30"/>
        </w:rPr>
      </w:pPr>
      <w:r>
        <w:rPr>
          <w:rFonts w:hint="eastAsia"/>
          <w:sz w:val="30"/>
          <w:szCs w:val="30"/>
        </w:rPr>
        <w:t>组  长：郭  峰、李忠晓</w:t>
      </w:r>
    </w:p>
    <w:p>
      <w:pPr>
        <w:pStyle w:val="9"/>
        <w:spacing w:before="0" w:beforeAutospacing="0" w:after="0" w:afterAutospacing="0" w:line="500" w:lineRule="exact"/>
        <w:ind w:firstLine="480"/>
        <w:jc w:val="both"/>
        <w:rPr>
          <w:sz w:val="30"/>
          <w:szCs w:val="30"/>
        </w:rPr>
      </w:pPr>
      <w:r>
        <w:rPr>
          <w:rFonts w:hint="eastAsia"/>
          <w:sz w:val="30"/>
          <w:szCs w:val="30"/>
        </w:rPr>
        <w:t>副组长：彭子龙、王  进、董  虎</w:t>
      </w:r>
      <w:bookmarkStart w:id="0" w:name="_GoBack"/>
      <w:bookmarkEnd w:id="0"/>
    </w:p>
    <w:p>
      <w:pPr>
        <w:pStyle w:val="9"/>
        <w:spacing w:before="0" w:beforeAutospacing="0" w:after="0" w:afterAutospacing="0" w:line="500" w:lineRule="exact"/>
        <w:ind w:firstLine="480"/>
        <w:jc w:val="both"/>
        <w:rPr>
          <w:rFonts w:hint="eastAsia"/>
          <w:sz w:val="30"/>
          <w:szCs w:val="30"/>
        </w:rPr>
      </w:pPr>
      <w:r>
        <w:rPr>
          <w:rFonts w:hint="eastAsia"/>
          <w:sz w:val="30"/>
          <w:szCs w:val="30"/>
        </w:rPr>
        <w:t>成  员：王优强、潘福全、林天然、陈成军、曲大义、撒占友、</w:t>
      </w:r>
    </w:p>
    <w:p>
      <w:pPr>
        <w:pStyle w:val="9"/>
        <w:spacing w:before="0" w:beforeAutospacing="0" w:after="0" w:afterAutospacing="0" w:line="500" w:lineRule="exact"/>
        <w:ind w:firstLine="480"/>
        <w:jc w:val="both"/>
        <w:rPr>
          <w:rFonts w:hint="eastAsia"/>
          <w:sz w:val="30"/>
          <w:szCs w:val="30"/>
        </w:rPr>
      </w:pPr>
      <w:r>
        <w:rPr>
          <w:rFonts w:hint="eastAsia"/>
          <w:sz w:val="30"/>
          <w:szCs w:val="30"/>
        </w:rPr>
        <w:t>阎  岩、柳  江、白清华、王  成、崔  宁、官源林、康国祥、</w:t>
      </w:r>
    </w:p>
    <w:p>
      <w:pPr>
        <w:pStyle w:val="9"/>
        <w:spacing w:before="0" w:beforeAutospacing="0" w:after="0" w:afterAutospacing="0" w:line="500" w:lineRule="exact"/>
        <w:ind w:firstLine="480"/>
        <w:jc w:val="both"/>
        <w:rPr>
          <w:sz w:val="30"/>
          <w:szCs w:val="30"/>
        </w:rPr>
      </w:pPr>
      <w:r>
        <w:rPr>
          <w:rFonts w:hint="eastAsia"/>
          <w:sz w:val="30"/>
          <w:szCs w:val="30"/>
        </w:rPr>
        <w:t>王海涛、江京亮、王  飞、尹  浩</w:t>
      </w:r>
    </w:p>
    <w:p>
      <w:pPr>
        <w:pStyle w:val="9"/>
        <w:spacing w:before="0" w:beforeAutospacing="0" w:after="0" w:afterAutospacing="0" w:line="500" w:lineRule="exact"/>
        <w:ind w:firstLine="480"/>
        <w:jc w:val="both"/>
        <w:rPr>
          <w:sz w:val="30"/>
          <w:szCs w:val="30"/>
        </w:rPr>
      </w:pPr>
      <w:r>
        <w:rPr>
          <w:rFonts w:hint="eastAsia"/>
          <w:sz w:val="30"/>
          <w:szCs w:val="30"/>
        </w:rPr>
        <w:t>秘  书：方  玲、徐卫晓、李  龙</w:t>
      </w:r>
    </w:p>
    <w:p>
      <w:pPr>
        <w:pStyle w:val="9"/>
        <w:numPr>
          <w:ilvl w:val="0"/>
          <w:numId w:val="2"/>
        </w:numPr>
        <w:spacing w:before="0" w:beforeAutospacing="0" w:after="0" w:afterAutospacing="0" w:line="500" w:lineRule="exact"/>
        <w:ind w:firstLine="480"/>
        <w:jc w:val="both"/>
        <w:rPr>
          <w:sz w:val="30"/>
          <w:szCs w:val="30"/>
        </w:rPr>
      </w:pPr>
      <w:r>
        <w:rPr>
          <w:rFonts w:hint="eastAsia"/>
          <w:sz w:val="30"/>
          <w:szCs w:val="30"/>
        </w:rPr>
        <w:t>推免生遴选工作坚持公开、公正、公平，德、智、体、美、劳全面衡量，择优选拔的原则。将本科阶段</w:t>
      </w:r>
      <w:r>
        <w:rPr>
          <w:rFonts w:hint="eastAsia"/>
          <w:sz w:val="30"/>
          <w:szCs w:val="30"/>
          <w:lang w:val="en-US" w:eastAsia="zh-CN"/>
        </w:rPr>
        <w:t>平均学分绩点</w:t>
      </w:r>
      <w:r>
        <w:rPr>
          <w:rFonts w:hint="eastAsia"/>
          <w:sz w:val="30"/>
          <w:szCs w:val="30"/>
        </w:rPr>
        <w:t>作为推免工作最基础的遴选指标，并合理设置学生参军入伍服兵役、参加志愿服务、到国际组织实习、科研成果、竞赛获奖等符合全面发展价值导向等因素所占权重，综合评价学生的各方面表现。</w:t>
      </w:r>
    </w:p>
    <w:p>
      <w:pPr>
        <w:pStyle w:val="9"/>
        <w:numPr>
          <w:ilvl w:val="0"/>
          <w:numId w:val="2"/>
        </w:numPr>
        <w:spacing w:before="0" w:beforeAutospacing="0" w:after="0" w:afterAutospacing="0" w:line="500" w:lineRule="exact"/>
        <w:ind w:firstLine="480"/>
        <w:jc w:val="both"/>
        <w:rPr>
          <w:sz w:val="30"/>
          <w:szCs w:val="30"/>
        </w:rPr>
      </w:pPr>
      <w:r>
        <w:rPr>
          <w:rFonts w:hint="eastAsia"/>
          <w:sz w:val="30"/>
          <w:szCs w:val="30"/>
        </w:rPr>
        <w:t>推免工作实行回避制度，工作小组成员如有直系亲属或者利害关系人参加当年的推免生遴选，不得参与当年的推免工作。</w:t>
      </w:r>
    </w:p>
    <w:p>
      <w:pPr>
        <w:pStyle w:val="9"/>
        <w:spacing w:before="0" w:beforeAutospacing="0" w:after="0" w:afterAutospacing="0" w:line="500" w:lineRule="exact"/>
        <w:jc w:val="both"/>
        <w:rPr>
          <w:sz w:val="30"/>
          <w:szCs w:val="30"/>
        </w:rPr>
      </w:pPr>
      <w:r>
        <w:rPr>
          <w:rStyle w:val="13"/>
          <w:rFonts w:hint="eastAsia"/>
          <w:sz w:val="30"/>
          <w:szCs w:val="30"/>
        </w:rPr>
        <w:t>二、推免生名额分配</w:t>
      </w:r>
    </w:p>
    <w:p>
      <w:pPr>
        <w:pStyle w:val="9"/>
        <w:spacing w:before="0" w:beforeAutospacing="0" w:after="0" w:afterAutospacing="0" w:line="500" w:lineRule="exact"/>
        <w:ind w:firstLine="600" w:firstLineChars="200"/>
        <w:jc w:val="both"/>
        <w:rPr>
          <w:rFonts w:hint="eastAsia"/>
          <w:sz w:val="30"/>
          <w:szCs w:val="30"/>
        </w:rPr>
      </w:pPr>
      <w:r>
        <w:rPr>
          <w:rFonts w:hint="eastAsia"/>
          <w:sz w:val="30"/>
          <w:szCs w:val="30"/>
        </w:rPr>
        <w:t>（一）学校根据教育部、山东省推免工作文件要求，以各学院学科专业水平和培养质量为导向，综合考虑各学院最近一轮学科专业评估、国家一流专业和省一流专业、省一流（或高峰）学科、省一流培育（或优势特色）学科、各学院应届本科毕业生数、上一年度接收推免生、基础理论学科和新旧动能转换学科等因素，分配学院推免生名额为23人（各专业测算名额为16人，综合奖励名额为7人）。学院根据学校文件要求，对名额进行二次分配，结果如下：</w:t>
      </w:r>
    </w:p>
    <w:p>
      <w:pPr>
        <w:pStyle w:val="9"/>
        <w:spacing w:before="0" w:beforeAutospacing="0" w:after="0" w:afterAutospacing="0" w:line="500" w:lineRule="exact"/>
        <w:ind w:firstLine="600" w:firstLineChars="200"/>
        <w:jc w:val="both"/>
        <w:rPr>
          <w:sz w:val="30"/>
          <w:szCs w:val="30"/>
        </w:rPr>
      </w:pPr>
      <w:r>
        <w:rPr>
          <w:rFonts w:hint="eastAsia"/>
          <w:sz w:val="30"/>
          <w:szCs w:val="30"/>
        </w:rPr>
        <w:t>机械设计制造及其自动化专业9个名额、材料成型及控制工程专业3个名额、测控技术与仪器专业1个名额、车辆工程专业4个名额、交通工程专业2个名额、交通运输专业1个名额、安全工程专业2个名额、汽车服务工程专业1个名额。</w:t>
      </w:r>
    </w:p>
    <w:p>
      <w:pPr>
        <w:pStyle w:val="9"/>
        <w:spacing w:before="0" w:beforeAutospacing="0" w:after="0" w:afterAutospacing="0" w:line="500" w:lineRule="exact"/>
        <w:ind w:firstLine="600" w:firstLineChars="200"/>
        <w:jc w:val="both"/>
        <w:rPr>
          <w:sz w:val="30"/>
          <w:szCs w:val="30"/>
        </w:rPr>
      </w:pPr>
      <w:r>
        <w:rPr>
          <w:rFonts w:hint="eastAsia"/>
          <w:sz w:val="30"/>
          <w:szCs w:val="30"/>
        </w:rPr>
        <w:t>（二）若某专业出现录取空额，最终名额调配由学院推免生遴选工作小组决定。</w:t>
      </w:r>
    </w:p>
    <w:p>
      <w:pPr>
        <w:pStyle w:val="9"/>
        <w:spacing w:before="0" w:beforeAutospacing="0" w:after="0" w:afterAutospacing="0" w:line="500" w:lineRule="exact"/>
        <w:jc w:val="both"/>
        <w:rPr>
          <w:sz w:val="30"/>
          <w:szCs w:val="30"/>
        </w:rPr>
      </w:pPr>
      <w:r>
        <w:rPr>
          <w:rStyle w:val="13"/>
          <w:rFonts w:hint="eastAsia"/>
          <w:sz w:val="30"/>
          <w:szCs w:val="30"/>
        </w:rPr>
        <w:t>三、推免生申请条件</w:t>
      </w:r>
    </w:p>
    <w:p>
      <w:pPr>
        <w:pStyle w:val="9"/>
        <w:spacing w:before="0" w:beforeAutospacing="0" w:after="0" w:afterAutospacing="0" w:line="500" w:lineRule="exact"/>
        <w:ind w:firstLine="600" w:firstLineChars="200"/>
        <w:jc w:val="both"/>
        <w:rPr>
          <w:sz w:val="30"/>
          <w:szCs w:val="30"/>
        </w:rPr>
      </w:pPr>
      <w:r>
        <w:rPr>
          <w:rFonts w:hint="eastAsia"/>
          <w:sz w:val="30"/>
          <w:szCs w:val="30"/>
        </w:rPr>
        <w:t>（一）参加推免的学生应具备以下基本条件：</w:t>
      </w:r>
    </w:p>
    <w:p>
      <w:pPr>
        <w:pStyle w:val="9"/>
        <w:spacing w:before="0" w:beforeAutospacing="0" w:after="0" w:afterAutospacing="0" w:line="500" w:lineRule="exact"/>
        <w:ind w:firstLine="480"/>
        <w:jc w:val="both"/>
        <w:rPr>
          <w:sz w:val="30"/>
          <w:szCs w:val="30"/>
        </w:rPr>
      </w:pPr>
      <w:r>
        <w:rPr>
          <w:rFonts w:hint="eastAsia"/>
          <w:sz w:val="30"/>
          <w:szCs w:val="30"/>
        </w:rPr>
        <w:t>1.拥护中国共产党的领导，社会主义信念坚定，具有高尚的爱国主义情操和集体主义精神，思想品德考核合格（不合格者不予推荐）。</w:t>
      </w:r>
    </w:p>
    <w:p>
      <w:pPr>
        <w:pStyle w:val="9"/>
        <w:spacing w:before="0" w:beforeAutospacing="0" w:after="0" w:afterAutospacing="0" w:line="500" w:lineRule="exact"/>
        <w:ind w:firstLine="480"/>
        <w:jc w:val="both"/>
        <w:rPr>
          <w:rFonts w:hint="eastAsia"/>
          <w:sz w:val="30"/>
          <w:szCs w:val="30"/>
        </w:rPr>
      </w:pPr>
      <w:r>
        <w:rPr>
          <w:rFonts w:hint="eastAsia"/>
          <w:sz w:val="30"/>
          <w:szCs w:val="30"/>
        </w:rPr>
        <w:t>2.国家普通本科招生计划录取的应届毕业生（不含专升本、第二学士学位、独立学院学生等）。</w:t>
      </w:r>
    </w:p>
    <w:p>
      <w:pPr>
        <w:pStyle w:val="9"/>
        <w:spacing w:before="0" w:beforeAutospacing="0" w:after="0" w:afterAutospacing="0" w:line="500" w:lineRule="exact"/>
        <w:ind w:firstLine="480"/>
        <w:jc w:val="both"/>
        <w:rPr>
          <w:sz w:val="30"/>
          <w:szCs w:val="30"/>
        </w:rPr>
      </w:pPr>
      <w:r>
        <w:rPr>
          <w:rFonts w:hint="eastAsia"/>
          <w:sz w:val="30"/>
          <w:szCs w:val="30"/>
        </w:rPr>
        <w:t>3.勤奋学习，善于钻研，成绩优秀，学术研究兴趣浓厚，有较强的创新意识、创新能力和专业能力，所有课程首次考试（考核）无不及格情况。</w:t>
      </w:r>
    </w:p>
    <w:p>
      <w:pPr>
        <w:pStyle w:val="9"/>
        <w:spacing w:before="0" w:beforeAutospacing="0" w:after="0" w:afterAutospacing="0" w:line="500" w:lineRule="exact"/>
        <w:ind w:firstLine="480"/>
        <w:jc w:val="both"/>
        <w:rPr>
          <w:sz w:val="30"/>
          <w:szCs w:val="30"/>
        </w:rPr>
      </w:pPr>
      <w:r>
        <w:rPr>
          <w:rFonts w:hint="eastAsia"/>
          <w:sz w:val="30"/>
          <w:szCs w:val="30"/>
        </w:rPr>
        <w:t>4.诚实守信、学风端正，无任何考试作弊、剽窃他人学术成果记录，无任何违法违纪和受处分记录。</w:t>
      </w:r>
    </w:p>
    <w:p>
      <w:pPr>
        <w:pStyle w:val="9"/>
        <w:spacing w:before="0" w:beforeAutospacing="0" w:after="0" w:afterAutospacing="0" w:line="500" w:lineRule="exact"/>
        <w:ind w:firstLine="480"/>
        <w:jc w:val="both"/>
        <w:rPr>
          <w:sz w:val="30"/>
          <w:szCs w:val="30"/>
        </w:rPr>
      </w:pPr>
      <w:r>
        <w:rPr>
          <w:rFonts w:hint="eastAsia"/>
          <w:sz w:val="30"/>
          <w:szCs w:val="30"/>
        </w:rPr>
        <w:t>5.社会责任感强，遵纪守法，品行优良，积极向上。</w:t>
      </w:r>
    </w:p>
    <w:p>
      <w:pPr>
        <w:pStyle w:val="9"/>
        <w:spacing w:before="0" w:beforeAutospacing="0" w:after="0" w:afterAutospacing="0" w:line="500" w:lineRule="exact"/>
        <w:ind w:firstLine="480"/>
        <w:jc w:val="both"/>
        <w:rPr>
          <w:sz w:val="30"/>
          <w:szCs w:val="30"/>
        </w:rPr>
      </w:pPr>
      <w:r>
        <w:rPr>
          <w:rFonts w:hint="eastAsia"/>
          <w:sz w:val="30"/>
          <w:szCs w:val="30"/>
        </w:rPr>
        <w:t>6.身心健康，达到研究生入学健康标准要求。</w:t>
      </w:r>
    </w:p>
    <w:p>
      <w:pPr>
        <w:pStyle w:val="9"/>
        <w:spacing w:before="0" w:beforeAutospacing="0" w:after="0" w:afterAutospacing="0" w:line="500" w:lineRule="exact"/>
        <w:ind w:firstLine="360"/>
        <w:jc w:val="both"/>
        <w:rPr>
          <w:sz w:val="30"/>
          <w:szCs w:val="30"/>
        </w:rPr>
      </w:pPr>
      <w:r>
        <w:rPr>
          <w:rFonts w:hint="eastAsia"/>
          <w:sz w:val="30"/>
          <w:szCs w:val="30"/>
        </w:rPr>
        <w:t>（二）除符合基本条件外，还应符合以下具体条件：</w:t>
      </w:r>
    </w:p>
    <w:p>
      <w:pPr>
        <w:pStyle w:val="9"/>
        <w:spacing w:before="0" w:beforeAutospacing="0" w:after="0" w:afterAutospacing="0" w:line="500" w:lineRule="exact"/>
        <w:ind w:firstLine="600" w:firstLineChars="200"/>
        <w:jc w:val="both"/>
        <w:rPr>
          <w:sz w:val="30"/>
          <w:szCs w:val="30"/>
        </w:rPr>
      </w:pPr>
      <w:r>
        <w:rPr>
          <w:rFonts w:hint="eastAsia"/>
          <w:sz w:val="30"/>
          <w:szCs w:val="30"/>
        </w:rPr>
        <w:t>1.在校学习期间，前6个学期学习总成绩（含课程设计、实习等）的平均学分绩点在本学科专业排名前30%（含)，如排名前30%总人数低于推免指标人数，可按排名依次顺延。</w:t>
      </w:r>
    </w:p>
    <w:p>
      <w:pPr>
        <w:pStyle w:val="9"/>
        <w:spacing w:before="0" w:beforeAutospacing="0" w:after="0" w:afterAutospacing="0" w:line="500" w:lineRule="exact"/>
        <w:ind w:firstLine="600" w:firstLineChars="200"/>
        <w:jc w:val="both"/>
        <w:rPr>
          <w:sz w:val="30"/>
          <w:szCs w:val="30"/>
        </w:rPr>
      </w:pPr>
      <w:r>
        <w:rPr>
          <w:rFonts w:hint="eastAsia"/>
          <w:sz w:val="30"/>
          <w:szCs w:val="30"/>
        </w:rPr>
        <w:t>2.外语水平成绩要求。</w:t>
      </w:r>
    </w:p>
    <w:p>
      <w:pPr>
        <w:pStyle w:val="9"/>
        <w:spacing w:before="0" w:beforeAutospacing="0" w:after="0" w:afterAutospacing="0" w:line="500" w:lineRule="exact"/>
        <w:ind w:firstLine="360"/>
        <w:jc w:val="both"/>
        <w:rPr>
          <w:sz w:val="30"/>
          <w:szCs w:val="30"/>
        </w:rPr>
      </w:pPr>
      <w:r>
        <w:rPr>
          <w:rFonts w:hint="eastAsia"/>
          <w:sz w:val="30"/>
          <w:szCs w:val="30"/>
        </w:rPr>
        <w:t>（1）全国大学英语四级考试成绩≥460分，或六级成绩≥425分，或TOFEL成绩≥75分（两年内有效），或GRE考试成绩≥295分（五年内有效），或雅思考试成绩≥5.5分，或PETS-5考试成绩≥60分（以上均需提供成绩证明）。</w:t>
      </w:r>
    </w:p>
    <w:p>
      <w:pPr>
        <w:pStyle w:val="9"/>
        <w:spacing w:before="0" w:beforeAutospacing="0" w:after="0" w:afterAutospacing="0" w:line="500" w:lineRule="exact"/>
        <w:ind w:firstLine="360"/>
        <w:jc w:val="both"/>
        <w:rPr>
          <w:sz w:val="30"/>
          <w:szCs w:val="30"/>
        </w:rPr>
      </w:pPr>
      <w:r>
        <w:rPr>
          <w:rFonts w:hint="eastAsia"/>
          <w:sz w:val="30"/>
          <w:szCs w:val="30"/>
        </w:rPr>
        <w:t>（2）第一外语为其它语种（如俄语、日语、德语等），需提供等同全国大学外语四、六级考试证明成绩证明。</w:t>
      </w:r>
    </w:p>
    <w:p>
      <w:pPr>
        <w:pStyle w:val="9"/>
        <w:spacing w:before="0" w:beforeAutospacing="0" w:after="0" w:afterAutospacing="0" w:line="500" w:lineRule="exact"/>
        <w:ind w:firstLine="360"/>
        <w:jc w:val="both"/>
        <w:rPr>
          <w:sz w:val="30"/>
          <w:szCs w:val="30"/>
        </w:rPr>
      </w:pPr>
      <w:r>
        <w:rPr>
          <w:rFonts w:hint="eastAsia"/>
          <w:sz w:val="30"/>
          <w:szCs w:val="30"/>
        </w:rPr>
        <w:t>（3）外语成绩证明应于当年9月1日前获得。</w:t>
      </w:r>
    </w:p>
    <w:p>
      <w:pPr>
        <w:pStyle w:val="9"/>
        <w:spacing w:before="0" w:beforeAutospacing="0" w:after="0" w:afterAutospacing="0" w:line="500" w:lineRule="exact"/>
        <w:jc w:val="both"/>
        <w:rPr>
          <w:rStyle w:val="13"/>
          <w:sz w:val="30"/>
          <w:szCs w:val="30"/>
        </w:rPr>
      </w:pPr>
      <w:r>
        <w:rPr>
          <w:rStyle w:val="13"/>
          <w:rFonts w:hint="eastAsia"/>
          <w:sz w:val="30"/>
          <w:szCs w:val="30"/>
        </w:rPr>
        <w:t>四、推免生遴选综合排名成绩计算</w:t>
      </w:r>
    </w:p>
    <w:p>
      <w:pPr>
        <w:pStyle w:val="9"/>
        <w:spacing w:before="0" w:beforeAutospacing="0" w:after="0" w:afterAutospacing="0" w:line="500" w:lineRule="exact"/>
        <w:ind w:firstLine="480"/>
        <w:jc w:val="both"/>
        <w:rPr>
          <w:sz w:val="30"/>
          <w:szCs w:val="30"/>
        </w:rPr>
      </w:pPr>
      <w:r>
        <w:rPr>
          <w:rFonts w:hint="eastAsia"/>
          <w:sz w:val="30"/>
          <w:szCs w:val="30"/>
        </w:rPr>
        <w:t>综合排名成绩由申请推免学生本科阶段前6个学期的平均学分绩点成绩（权重为80%）和综合能力成绩（权重为20%）组成，满分为100分，即：</w:t>
      </w:r>
    </w:p>
    <w:p>
      <w:pPr>
        <w:pStyle w:val="9"/>
        <w:spacing w:before="0" w:beforeAutospacing="0" w:after="0" w:afterAutospacing="0" w:line="500" w:lineRule="exact"/>
        <w:ind w:firstLine="480"/>
        <w:jc w:val="both"/>
        <w:rPr>
          <w:sz w:val="30"/>
          <w:szCs w:val="30"/>
        </w:rPr>
      </w:pPr>
      <w:r>
        <w:rPr>
          <w:rFonts w:hint="eastAsia"/>
          <w:sz w:val="30"/>
          <w:szCs w:val="30"/>
        </w:rPr>
        <w:t>综合排名成绩=[（被推荐学生平均学分绩点值/本专业第一名学生学分平均学分绩点值）×100] *80%+综合能力成绩*20%。</w:t>
      </w:r>
    </w:p>
    <w:p>
      <w:pPr>
        <w:pStyle w:val="9"/>
        <w:numPr>
          <w:ilvl w:val="0"/>
          <w:numId w:val="3"/>
        </w:numPr>
        <w:spacing w:before="0" w:beforeAutospacing="0" w:after="0" w:afterAutospacing="0" w:line="500" w:lineRule="exact"/>
        <w:ind w:firstLine="480"/>
        <w:jc w:val="both"/>
        <w:rPr>
          <w:sz w:val="30"/>
          <w:szCs w:val="30"/>
        </w:rPr>
      </w:pPr>
      <w:r>
        <w:rPr>
          <w:rFonts w:hint="eastAsia"/>
          <w:sz w:val="30"/>
          <w:szCs w:val="30"/>
        </w:rPr>
        <w:t>平均学分绩点的计算</w:t>
      </w:r>
    </w:p>
    <w:p>
      <w:pPr>
        <w:pStyle w:val="9"/>
        <w:spacing w:before="0" w:beforeAutospacing="0" w:after="0" w:afterAutospacing="0" w:line="500" w:lineRule="exact"/>
        <w:ind w:firstLine="600" w:firstLineChars="200"/>
        <w:jc w:val="both"/>
        <w:rPr>
          <w:sz w:val="30"/>
          <w:szCs w:val="30"/>
          <w:highlight w:val="none"/>
        </w:rPr>
      </w:pPr>
      <w:r>
        <w:rPr>
          <w:rFonts w:hint="eastAsia"/>
          <w:sz w:val="30"/>
          <w:szCs w:val="30"/>
          <w:highlight w:val="none"/>
        </w:rPr>
        <w:t>1.平均学分绩点只计算列入本科专业培养方案的通识教育基础课程、学科基础课程、专业必修课程、专业选修课程成绩、额定学分的公共选修课（按公共选修课模块分类，如该模块公共选修课的学分大于额定学分，可选其中成绩较高的课程计算）。</w:t>
      </w:r>
    </w:p>
    <w:p>
      <w:pPr>
        <w:pStyle w:val="9"/>
        <w:spacing w:before="0" w:beforeAutospacing="0" w:after="0" w:afterAutospacing="0" w:line="500" w:lineRule="exact"/>
        <w:ind w:firstLine="600" w:firstLineChars="200"/>
        <w:jc w:val="both"/>
        <w:rPr>
          <w:sz w:val="30"/>
          <w:szCs w:val="30"/>
        </w:rPr>
      </w:pPr>
      <w:r>
        <w:rPr>
          <w:rFonts w:hint="eastAsia"/>
          <w:sz w:val="30"/>
          <w:szCs w:val="30"/>
        </w:rPr>
        <w:t>2.平均学分绩点计算方法按《青岛理工大学本科生学籍管理 规定》执行，平均学分绩点保留小数点后五位数。</w:t>
      </w:r>
    </w:p>
    <w:p>
      <w:pPr>
        <w:pStyle w:val="9"/>
        <w:spacing w:before="0" w:beforeAutospacing="0" w:after="0" w:afterAutospacing="0" w:line="500" w:lineRule="exact"/>
        <w:ind w:firstLine="600" w:firstLineChars="200"/>
        <w:jc w:val="both"/>
        <w:rPr>
          <w:sz w:val="30"/>
          <w:szCs w:val="30"/>
        </w:rPr>
      </w:pPr>
      <w:r>
        <w:rPr>
          <w:rFonts w:hint="eastAsia"/>
          <w:sz w:val="30"/>
          <w:szCs w:val="30"/>
        </w:rPr>
        <w:t>3.平均学分绩点的计算，以首次考试（考核）成绩为准；已办理缓考未参加首次考试（考核），以缓考成绩为准；首次考试（考核）无故旷到，成绩按不合格处理。</w:t>
      </w:r>
    </w:p>
    <w:p>
      <w:pPr>
        <w:pStyle w:val="9"/>
        <w:numPr>
          <w:ilvl w:val="0"/>
          <w:numId w:val="3"/>
        </w:numPr>
        <w:spacing w:before="0" w:beforeAutospacing="0" w:after="0" w:afterAutospacing="0" w:line="500" w:lineRule="exact"/>
        <w:ind w:firstLine="480"/>
        <w:jc w:val="both"/>
        <w:rPr>
          <w:sz w:val="30"/>
          <w:szCs w:val="30"/>
        </w:rPr>
      </w:pPr>
      <w:r>
        <w:rPr>
          <w:rFonts w:hint="eastAsia"/>
          <w:sz w:val="30"/>
          <w:szCs w:val="30"/>
        </w:rPr>
        <w:t>综合能力评价</w:t>
      </w:r>
    </w:p>
    <w:p>
      <w:pPr>
        <w:pStyle w:val="9"/>
        <w:spacing w:before="0" w:beforeAutospacing="0" w:after="0" w:afterAutospacing="0" w:line="500" w:lineRule="exact"/>
        <w:ind w:firstLine="600" w:firstLineChars="200"/>
        <w:jc w:val="both"/>
        <w:rPr>
          <w:sz w:val="30"/>
          <w:szCs w:val="30"/>
        </w:rPr>
      </w:pPr>
      <w:r>
        <w:rPr>
          <w:rFonts w:hint="eastAsia"/>
          <w:sz w:val="30"/>
          <w:szCs w:val="30"/>
        </w:rPr>
        <w:t>指标包含：科研论文（Z1）；科研竞赛（Z2）；学生参军入伍服兵役（Z3）；参加志愿服务（Z4）；到国际组织实习等社会服务（Z5）；综合荣誉等其他（Z6）6 大类。</w:t>
      </w:r>
    </w:p>
    <w:p>
      <w:pPr>
        <w:pStyle w:val="9"/>
        <w:spacing w:before="0" w:beforeAutospacing="0" w:after="0" w:afterAutospacing="0" w:line="500" w:lineRule="exact"/>
        <w:ind w:firstLine="600" w:firstLineChars="200"/>
        <w:jc w:val="both"/>
        <w:rPr>
          <w:sz w:val="30"/>
          <w:szCs w:val="30"/>
        </w:rPr>
      </w:pPr>
      <w:r>
        <w:rPr>
          <w:rFonts w:hint="eastAsia"/>
          <w:sz w:val="30"/>
          <w:szCs w:val="30"/>
        </w:rPr>
        <w:t>综合能力成绩=∑（Zi成绩*Zi权重）</w:t>
      </w:r>
    </w:p>
    <w:p>
      <w:pPr>
        <w:pStyle w:val="9"/>
        <w:spacing w:before="0" w:beforeAutospacing="0" w:after="0" w:afterAutospacing="0" w:line="500" w:lineRule="exact"/>
        <w:ind w:firstLine="600" w:firstLineChars="200"/>
        <w:jc w:val="both"/>
        <w:rPr>
          <w:sz w:val="30"/>
          <w:szCs w:val="30"/>
        </w:rPr>
      </w:pPr>
      <w:r>
        <w:rPr>
          <w:rFonts w:hint="eastAsia"/>
          <w:sz w:val="30"/>
          <w:szCs w:val="30"/>
        </w:rPr>
        <w:t>1.i=1～6,各项成绩满分均为100分；其中 Z1权重为 30%、Z2权重为50%、Z3、Z4、Z5、Z6权重各为5%。</w:t>
      </w:r>
    </w:p>
    <w:p>
      <w:pPr>
        <w:pStyle w:val="9"/>
        <w:spacing w:before="0" w:beforeAutospacing="0" w:after="0" w:afterAutospacing="0" w:line="500" w:lineRule="exact"/>
        <w:ind w:firstLine="600" w:firstLineChars="200"/>
        <w:jc w:val="both"/>
        <w:rPr>
          <w:sz w:val="30"/>
          <w:szCs w:val="30"/>
          <w:highlight w:val="none"/>
        </w:rPr>
      </w:pPr>
      <w:r>
        <w:rPr>
          <w:rFonts w:hint="eastAsia"/>
          <w:sz w:val="30"/>
          <w:szCs w:val="30"/>
          <w:highlight w:val="none"/>
        </w:rPr>
        <w:t>2.学生在Z1～Z6某一方面中有多项加分情况时，原则上只取一项。</w:t>
      </w:r>
    </w:p>
    <w:p>
      <w:pPr>
        <w:pStyle w:val="9"/>
        <w:spacing w:before="0" w:beforeAutospacing="0" w:after="0" w:afterAutospacing="0" w:line="500" w:lineRule="exact"/>
        <w:ind w:firstLine="600" w:firstLineChars="200"/>
        <w:jc w:val="both"/>
        <w:rPr>
          <w:sz w:val="30"/>
          <w:szCs w:val="30"/>
        </w:rPr>
      </w:pPr>
      <w:r>
        <w:rPr>
          <w:rFonts w:hint="eastAsia"/>
          <w:sz w:val="30"/>
          <w:szCs w:val="30"/>
        </w:rPr>
        <w:t>3.科研论文（Z1）。Z1仅限学生本科阶段在核心期刊及以上层次以独立作者或第一作者发表的与学业相关的科研论文。</w:t>
      </w:r>
    </w:p>
    <w:p>
      <w:pPr>
        <w:pStyle w:val="9"/>
        <w:spacing w:before="0" w:beforeAutospacing="0" w:after="0" w:afterAutospacing="0" w:line="500" w:lineRule="exact"/>
        <w:ind w:firstLine="600" w:firstLineChars="200"/>
        <w:jc w:val="both"/>
        <w:rPr>
          <w:sz w:val="30"/>
          <w:szCs w:val="30"/>
        </w:rPr>
      </w:pPr>
      <w:r>
        <w:rPr>
          <w:rFonts w:hint="eastAsia"/>
          <w:sz w:val="30"/>
          <w:szCs w:val="30"/>
        </w:rPr>
        <w:t>4.科研竞赛（Z2）。Z2原则上仅限作为主力成员参加与学业相关的国内权威科研竞赛（全国赛）并获得三等奖以上奖励（国际赛事参照执行，但不得低于国内赛事相关要求）。</w:t>
      </w:r>
    </w:p>
    <w:p>
      <w:pPr>
        <w:pStyle w:val="9"/>
        <w:spacing w:before="0" w:beforeAutospacing="0" w:after="0" w:afterAutospacing="0" w:line="500" w:lineRule="exact"/>
        <w:ind w:firstLine="600" w:firstLineChars="200"/>
        <w:jc w:val="both"/>
        <w:rPr>
          <w:sz w:val="30"/>
          <w:szCs w:val="30"/>
        </w:rPr>
      </w:pPr>
      <w:r>
        <w:rPr>
          <w:rFonts w:hint="eastAsia"/>
          <w:sz w:val="30"/>
          <w:szCs w:val="30"/>
        </w:rPr>
        <w:t>5.学生与直系亲属或学历、职称、职务明显高于本人者合作 的科研成果、竞赛奖项等仅作为参考，不纳入学生本人推免遴选综合</w:t>
      </w:r>
      <w:r>
        <w:rPr>
          <w:rFonts w:hint="eastAsia"/>
          <w:sz w:val="30"/>
          <w:szCs w:val="30"/>
          <w:lang w:val="en-US" w:eastAsia="zh-CN"/>
        </w:rPr>
        <w:t>排名</w:t>
      </w:r>
      <w:r>
        <w:rPr>
          <w:rFonts w:hint="eastAsia"/>
          <w:sz w:val="30"/>
          <w:szCs w:val="30"/>
        </w:rPr>
        <w:t>成绩计算体系，同等条件下可优先考虑。</w:t>
      </w:r>
    </w:p>
    <w:p>
      <w:pPr>
        <w:pStyle w:val="9"/>
        <w:spacing w:before="0" w:beforeAutospacing="0" w:after="0" w:afterAutospacing="0" w:line="500" w:lineRule="exact"/>
        <w:ind w:firstLine="600" w:firstLineChars="200"/>
        <w:jc w:val="both"/>
        <w:rPr>
          <w:rFonts w:hint="eastAsia"/>
          <w:sz w:val="30"/>
          <w:szCs w:val="30"/>
        </w:rPr>
      </w:pPr>
      <w:r>
        <w:rPr>
          <w:rFonts w:hint="eastAsia"/>
          <w:sz w:val="30"/>
          <w:szCs w:val="30"/>
        </w:rPr>
        <w:t>6.Z1、Z2计算依据《青岛理工大学应届本科毕业生科技创新成果认定标准及办法》（见附件）。</w:t>
      </w:r>
    </w:p>
    <w:p>
      <w:pPr>
        <w:pStyle w:val="9"/>
        <w:spacing w:before="0" w:beforeAutospacing="0" w:after="0" w:afterAutospacing="0" w:line="500" w:lineRule="exact"/>
        <w:ind w:firstLine="600" w:firstLineChars="200"/>
        <w:jc w:val="both"/>
        <w:rPr>
          <w:sz w:val="30"/>
          <w:szCs w:val="30"/>
        </w:rPr>
      </w:pPr>
      <w:r>
        <w:rPr>
          <w:rFonts w:hint="eastAsia"/>
          <w:sz w:val="30"/>
          <w:szCs w:val="30"/>
        </w:rPr>
        <w:t>补充说明：美国大学生数学建模竞赛Outstanding winner按国家竞赛“特等奖”计算，Finalist winner按国家竞赛“一等奖”计算，Meritorious winner按国家竞赛“三等奖”计算。</w:t>
      </w:r>
    </w:p>
    <w:p>
      <w:pPr>
        <w:pStyle w:val="9"/>
        <w:spacing w:before="0" w:beforeAutospacing="0" w:after="0" w:afterAutospacing="0" w:line="500" w:lineRule="exact"/>
        <w:ind w:firstLine="600" w:firstLineChars="200"/>
        <w:jc w:val="both"/>
        <w:rPr>
          <w:sz w:val="30"/>
          <w:szCs w:val="30"/>
        </w:rPr>
      </w:pPr>
      <w:r>
        <w:rPr>
          <w:rFonts w:hint="eastAsia"/>
          <w:sz w:val="30"/>
          <w:szCs w:val="30"/>
        </w:rPr>
        <w:t>7.学生参军入伍服兵役（Z3）满2年</w:t>
      </w:r>
      <w:r>
        <w:rPr>
          <w:rFonts w:hint="eastAsia"/>
          <w:sz w:val="30"/>
          <w:szCs w:val="30"/>
          <w:lang w:eastAsia="zh-CN"/>
        </w:rPr>
        <w:t>，</w:t>
      </w:r>
      <w:r>
        <w:rPr>
          <w:rFonts w:hint="eastAsia"/>
          <w:sz w:val="30"/>
          <w:szCs w:val="30"/>
          <w:lang w:val="en-US" w:eastAsia="zh-CN"/>
        </w:rPr>
        <w:t>计</w:t>
      </w:r>
      <w:r>
        <w:rPr>
          <w:rFonts w:hint="eastAsia"/>
          <w:sz w:val="30"/>
          <w:szCs w:val="30"/>
        </w:rPr>
        <w:t>100分。</w:t>
      </w:r>
    </w:p>
    <w:p>
      <w:pPr>
        <w:pStyle w:val="9"/>
        <w:spacing w:before="0" w:beforeAutospacing="0" w:after="0" w:afterAutospacing="0" w:line="500" w:lineRule="exact"/>
        <w:ind w:firstLine="600" w:firstLineChars="200"/>
        <w:jc w:val="both"/>
        <w:rPr>
          <w:sz w:val="30"/>
          <w:szCs w:val="30"/>
        </w:rPr>
      </w:pPr>
      <w:r>
        <w:rPr>
          <w:rFonts w:hint="eastAsia"/>
          <w:sz w:val="30"/>
          <w:szCs w:val="30"/>
        </w:rPr>
        <w:t>8.参加志愿服务（Z4）。学生在社会实践、志愿服务、慈善公益等活动中有突出事迹受到地市级及以上官方表彰奖励。个人项目分别计100分（国家级）、80分（省部级）和50分（地市级），集体项目得分有位次的按照下表计算系数，没有位次的得分均分到全体成员，团队负责人得分加倍。</w:t>
      </w:r>
    </w:p>
    <w:p>
      <w:pPr>
        <w:pStyle w:val="9"/>
        <w:spacing w:before="0" w:beforeAutospacing="0" w:after="0" w:afterAutospacing="0" w:line="500" w:lineRule="exact"/>
        <w:ind w:firstLine="600" w:firstLineChars="200"/>
        <w:jc w:val="both"/>
        <w:rPr>
          <w:sz w:val="30"/>
          <w:szCs w:val="30"/>
        </w:rPr>
      </w:pPr>
      <w:r>
        <w:rPr>
          <w:rFonts w:hint="eastAsia"/>
          <w:sz w:val="30"/>
          <w:szCs w:val="30"/>
        </w:rPr>
        <w:t>（1）独立完成人位次系数为 100%。</w:t>
      </w:r>
    </w:p>
    <w:p>
      <w:pPr>
        <w:pStyle w:val="9"/>
        <w:spacing w:before="0" w:beforeAutospacing="0" w:after="0" w:afterAutospacing="0" w:line="500" w:lineRule="exact"/>
        <w:ind w:firstLine="600" w:firstLineChars="200"/>
        <w:jc w:val="both"/>
        <w:rPr>
          <w:sz w:val="30"/>
          <w:szCs w:val="30"/>
        </w:rPr>
      </w:pPr>
      <w:r>
        <w:rPr>
          <w:rFonts w:hint="eastAsia"/>
          <w:sz w:val="30"/>
          <w:szCs w:val="30"/>
        </w:rPr>
        <w:t>（2）团队成员人数为 2 位的位次系数。</w:t>
      </w:r>
    </w:p>
    <w:tbl>
      <w:tblPr>
        <w:tblStyle w:val="1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92"/>
        <w:gridCol w:w="3058"/>
        <w:gridCol w:w="4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 w:hRule="atLeast"/>
          <w:jc w:val="center"/>
        </w:trPr>
        <w:tc>
          <w:tcPr>
            <w:tcW w:w="1097" w:type="pct"/>
            <w:vAlign w:val="center"/>
          </w:tcPr>
          <w:p>
            <w:pPr>
              <w:pStyle w:val="18"/>
              <w:widowControl w:val="0"/>
              <w:autoSpaceDE w:val="0"/>
              <w:autoSpaceDN w:val="0"/>
              <w:adjustRightInd/>
              <w:snapToGrid/>
              <w:spacing w:before="0" w:after="0" w:line="500" w:lineRule="exact"/>
              <w:rPr>
                <w:sz w:val="28"/>
                <w:szCs w:val="28"/>
              </w:rPr>
            </w:pPr>
            <w:r>
              <w:rPr>
                <w:rFonts w:hint="eastAsia"/>
                <w:sz w:val="28"/>
                <w:szCs w:val="28"/>
              </w:rPr>
              <w:t>序号</w:t>
            </w:r>
          </w:p>
        </w:tc>
        <w:tc>
          <w:tcPr>
            <w:tcW w:w="1684" w:type="pct"/>
            <w:vAlign w:val="center"/>
          </w:tcPr>
          <w:p>
            <w:pPr>
              <w:pStyle w:val="18"/>
              <w:widowControl w:val="0"/>
              <w:autoSpaceDE w:val="0"/>
              <w:autoSpaceDN w:val="0"/>
              <w:adjustRightInd/>
              <w:snapToGrid/>
              <w:spacing w:before="0" w:after="0" w:line="500" w:lineRule="exact"/>
              <w:rPr>
                <w:sz w:val="28"/>
                <w:szCs w:val="28"/>
              </w:rPr>
            </w:pPr>
            <w:r>
              <w:rPr>
                <w:rFonts w:hint="eastAsia"/>
                <w:sz w:val="28"/>
                <w:szCs w:val="28"/>
              </w:rPr>
              <w:t>位次</w:t>
            </w:r>
          </w:p>
        </w:tc>
        <w:tc>
          <w:tcPr>
            <w:tcW w:w="2218" w:type="pct"/>
            <w:vAlign w:val="center"/>
          </w:tcPr>
          <w:p>
            <w:pPr>
              <w:pStyle w:val="18"/>
              <w:widowControl w:val="0"/>
              <w:autoSpaceDE w:val="0"/>
              <w:autoSpaceDN w:val="0"/>
              <w:adjustRightInd/>
              <w:snapToGrid/>
              <w:spacing w:before="0" w:after="0" w:line="500" w:lineRule="exact"/>
              <w:rPr>
                <w:sz w:val="28"/>
                <w:szCs w:val="28"/>
              </w:rPr>
            </w:pPr>
            <w:r>
              <w:rPr>
                <w:rFonts w:hint="eastAsia"/>
                <w:sz w:val="28"/>
                <w:szCs w:val="28"/>
              </w:rPr>
              <w:t>位次系数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6" w:hRule="atLeast"/>
          <w:jc w:val="center"/>
        </w:trPr>
        <w:tc>
          <w:tcPr>
            <w:tcW w:w="1097" w:type="pct"/>
            <w:vAlign w:val="center"/>
          </w:tcPr>
          <w:p>
            <w:pPr>
              <w:pStyle w:val="18"/>
              <w:widowControl w:val="0"/>
              <w:autoSpaceDE w:val="0"/>
              <w:autoSpaceDN w:val="0"/>
              <w:adjustRightInd/>
              <w:snapToGrid/>
              <w:spacing w:before="0" w:after="0" w:line="500" w:lineRule="exact"/>
              <w:rPr>
                <w:sz w:val="28"/>
                <w:szCs w:val="28"/>
              </w:rPr>
            </w:pPr>
            <w:r>
              <w:rPr>
                <w:rFonts w:hint="eastAsia"/>
                <w:w w:val="99"/>
                <w:sz w:val="28"/>
                <w:szCs w:val="28"/>
              </w:rPr>
              <w:t>1</w:t>
            </w:r>
          </w:p>
        </w:tc>
        <w:tc>
          <w:tcPr>
            <w:tcW w:w="1684" w:type="pct"/>
            <w:vAlign w:val="center"/>
          </w:tcPr>
          <w:p>
            <w:pPr>
              <w:pStyle w:val="18"/>
              <w:widowControl w:val="0"/>
              <w:autoSpaceDE w:val="0"/>
              <w:autoSpaceDN w:val="0"/>
              <w:adjustRightInd/>
              <w:snapToGrid/>
              <w:spacing w:before="0" w:after="0" w:line="500" w:lineRule="exact"/>
              <w:rPr>
                <w:sz w:val="28"/>
                <w:szCs w:val="28"/>
              </w:rPr>
            </w:pPr>
            <w:r>
              <w:rPr>
                <w:rFonts w:hint="eastAsia"/>
                <w:w w:val="99"/>
                <w:sz w:val="28"/>
                <w:szCs w:val="28"/>
              </w:rPr>
              <w:t>1</w:t>
            </w:r>
          </w:p>
        </w:tc>
        <w:tc>
          <w:tcPr>
            <w:tcW w:w="2218" w:type="pct"/>
            <w:vAlign w:val="center"/>
          </w:tcPr>
          <w:p>
            <w:pPr>
              <w:pStyle w:val="18"/>
              <w:widowControl w:val="0"/>
              <w:autoSpaceDE w:val="0"/>
              <w:autoSpaceDN w:val="0"/>
              <w:adjustRightInd/>
              <w:snapToGrid/>
              <w:spacing w:before="0" w:after="0" w:line="500" w:lineRule="exact"/>
              <w:rPr>
                <w:sz w:val="28"/>
                <w:szCs w:val="28"/>
                <w:lang w:val="en-US"/>
              </w:rPr>
            </w:pPr>
            <w:r>
              <w:rPr>
                <w:rFonts w:hint="eastAsia"/>
                <w:spacing w:val="6"/>
                <w:w w:val="95"/>
                <w:position w:val="1"/>
                <w:sz w:val="28"/>
                <w:szCs w:val="28"/>
              </w:rPr>
              <w:t>60</w:t>
            </w:r>
            <w:r>
              <w:rPr>
                <w:rFonts w:hint="eastAsia"/>
                <w:spacing w:val="6"/>
                <w:w w:val="95"/>
                <w:position w:val="1"/>
                <w:sz w:val="28"/>
                <w:szCs w:val="28"/>
                <w:lang w:val="en-U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6" w:hRule="atLeast"/>
          <w:jc w:val="center"/>
        </w:trPr>
        <w:tc>
          <w:tcPr>
            <w:tcW w:w="1097" w:type="pct"/>
            <w:vAlign w:val="center"/>
          </w:tcPr>
          <w:p>
            <w:pPr>
              <w:pStyle w:val="18"/>
              <w:widowControl w:val="0"/>
              <w:autoSpaceDE w:val="0"/>
              <w:autoSpaceDN w:val="0"/>
              <w:adjustRightInd/>
              <w:snapToGrid/>
              <w:spacing w:before="0" w:after="0" w:line="500" w:lineRule="exact"/>
              <w:rPr>
                <w:sz w:val="28"/>
                <w:szCs w:val="28"/>
              </w:rPr>
            </w:pPr>
            <w:r>
              <w:rPr>
                <w:rFonts w:hint="eastAsia"/>
                <w:w w:val="99"/>
                <w:sz w:val="28"/>
                <w:szCs w:val="28"/>
              </w:rPr>
              <w:t>2</w:t>
            </w:r>
          </w:p>
        </w:tc>
        <w:tc>
          <w:tcPr>
            <w:tcW w:w="1684" w:type="pct"/>
            <w:vAlign w:val="center"/>
          </w:tcPr>
          <w:p>
            <w:pPr>
              <w:pStyle w:val="18"/>
              <w:widowControl w:val="0"/>
              <w:autoSpaceDE w:val="0"/>
              <w:autoSpaceDN w:val="0"/>
              <w:adjustRightInd/>
              <w:snapToGrid/>
              <w:spacing w:before="0" w:after="0" w:line="500" w:lineRule="exact"/>
              <w:rPr>
                <w:sz w:val="28"/>
                <w:szCs w:val="28"/>
              </w:rPr>
            </w:pPr>
            <w:r>
              <w:rPr>
                <w:rFonts w:hint="eastAsia"/>
                <w:w w:val="99"/>
                <w:sz w:val="28"/>
                <w:szCs w:val="28"/>
              </w:rPr>
              <w:t>2</w:t>
            </w:r>
          </w:p>
        </w:tc>
        <w:tc>
          <w:tcPr>
            <w:tcW w:w="2218" w:type="pct"/>
            <w:vAlign w:val="center"/>
          </w:tcPr>
          <w:p>
            <w:pPr>
              <w:pStyle w:val="18"/>
              <w:widowControl w:val="0"/>
              <w:autoSpaceDE w:val="0"/>
              <w:autoSpaceDN w:val="0"/>
              <w:adjustRightInd/>
              <w:snapToGrid/>
              <w:spacing w:before="0" w:after="0" w:line="500" w:lineRule="exact"/>
              <w:rPr>
                <w:sz w:val="28"/>
                <w:szCs w:val="28"/>
                <w:lang w:val="en-US"/>
              </w:rPr>
            </w:pPr>
            <w:r>
              <w:rPr>
                <w:rFonts w:hint="eastAsia"/>
                <w:spacing w:val="6"/>
                <w:w w:val="95"/>
                <w:sz w:val="28"/>
                <w:szCs w:val="28"/>
              </w:rPr>
              <w:t>40</w:t>
            </w:r>
            <w:r>
              <w:rPr>
                <w:rFonts w:hint="eastAsia"/>
                <w:spacing w:val="6"/>
                <w:w w:val="95"/>
                <w:sz w:val="28"/>
                <w:szCs w:val="28"/>
                <w:lang w:val="en-US"/>
              </w:rPr>
              <w:t>%</w:t>
            </w:r>
          </w:p>
        </w:tc>
      </w:tr>
    </w:tbl>
    <w:p>
      <w:pPr>
        <w:pStyle w:val="9"/>
        <w:spacing w:before="0" w:beforeAutospacing="0" w:after="0" w:afterAutospacing="0" w:line="500" w:lineRule="exact"/>
        <w:ind w:firstLine="600" w:firstLineChars="200"/>
        <w:jc w:val="both"/>
        <w:rPr>
          <w:sz w:val="30"/>
          <w:szCs w:val="30"/>
        </w:rPr>
      </w:pPr>
      <w:r>
        <w:rPr>
          <w:rFonts w:hint="eastAsia"/>
          <w:sz w:val="30"/>
          <w:szCs w:val="30"/>
        </w:rPr>
        <w:t>（3）团队成员人数大于等于 3 位的位次系数。</w:t>
      </w:r>
    </w:p>
    <w:tbl>
      <w:tblPr>
        <w:tblStyle w:val="10"/>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1762"/>
        <w:gridCol w:w="2705"/>
        <w:gridCol w:w="3442"/>
        <w:gridCol w:w="11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56" w:hRule="atLeast"/>
          <w:jc w:val="center"/>
        </w:trPr>
        <w:tc>
          <w:tcPr>
            <w:tcW w:w="968" w:type="pct"/>
            <w:vAlign w:val="center"/>
          </w:tcPr>
          <w:p>
            <w:pPr>
              <w:pStyle w:val="9"/>
              <w:spacing w:before="0" w:beforeAutospacing="0" w:after="0" w:afterAutospacing="0" w:line="500" w:lineRule="exact"/>
              <w:ind w:firstLine="480"/>
              <w:jc w:val="center"/>
              <w:rPr>
                <w:sz w:val="28"/>
                <w:szCs w:val="28"/>
              </w:rPr>
            </w:pPr>
            <w:r>
              <w:rPr>
                <w:rFonts w:hint="eastAsia"/>
                <w:sz w:val="28"/>
                <w:szCs w:val="28"/>
              </w:rPr>
              <w:t>序号</w:t>
            </w:r>
          </w:p>
        </w:tc>
        <w:tc>
          <w:tcPr>
            <w:tcW w:w="1486" w:type="pct"/>
            <w:vAlign w:val="center"/>
          </w:tcPr>
          <w:p>
            <w:pPr>
              <w:pStyle w:val="9"/>
              <w:spacing w:before="0" w:beforeAutospacing="0" w:after="0" w:afterAutospacing="0" w:line="500" w:lineRule="exact"/>
              <w:ind w:firstLine="480"/>
              <w:jc w:val="center"/>
              <w:rPr>
                <w:sz w:val="28"/>
                <w:szCs w:val="28"/>
              </w:rPr>
            </w:pPr>
            <w:r>
              <w:rPr>
                <w:rFonts w:hint="eastAsia"/>
                <w:sz w:val="28"/>
                <w:szCs w:val="28"/>
              </w:rPr>
              <w:t>作者名次</w:t>
            </w:r>
          </w:p>
        </w:tc>
        <w:tc>
          <w:tcPr>
            <w:tcW w:w="1891" w:type="pct"/>
            <w:vAlign w:val="center"/>
          </w:tcPr>
          <w:p>
            <w:pPr>
              <w:pStyle w:val="9"/>
              <w:spacing w:before="0" w:beforeAutospacing="0" w:after="0" w:afterAutospacing="0" w:line="500" w:lineRule="exact"/>
              <w:ind w:firstLine="480"/>
              <w:jc w:val="center"/>
              <w:rPr>
                <w:sz w:val="28"/>
                <w:szCs w:val="28"/>
              </w:rPr>
            </w:pPr>
            <w:r>
              <w:rPr>
                <w:rFonts w:hint="eastAsia"/>
                <w:sz w:val="28"/>
                <w:szCs w:val="28"/>
              </w:rPr>
              <w:t>位次计算系数</w:t>
            </w:r>
          </w:p>
        </w:tc>
        <w:tc>
          <w:tcPr>
            <w:tcW w:w="653" w:type="pct"/>
            <w:vAlign w:val="center"/>
          </w:tcPr>
          <w:p>
            <w:pPr>
              <w:pStyle w:val="9"/>
              <w:spacing w:before="0" w:beforeAutospacing="0" w:after="0" w:afterAutospacing="0" w:line="500" w:lineRule="exact"/>
              <w:jc w:val="center"/>
              <w:rPr>
                <w:sz w:val="28"/>
                <w:szCs w:val="28"/>
              </w:rPr>
            </w:pPr>
            <w:r>
              <w:rPr>
                <w:rFonts w:hint="eastAsia"/>
                <w:sz w:val="28"/>
                <w:szCs w:val="28"/>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42" w:hRule="atLeast"/>
          <w:jc w:val="center"/>
        </w:trPr>
        <w:tc>
          <w:tcPr>
            <w:tcW w:w="968" w:type="pct"/>
            <w:vAlign w:val="center"/>
          </w:tcPr>
          <w:p>
            <w:pPr>
              <w:pStyle w:val="9"/>
              <w:spacing w:before="0" w:beforeAutospacing="0" w:after="0" w:afterAutospacing="0" w:line="500" w:lineRule="exact"/>
              <w:jc w:val="center"/>
              <w:rPr>
                <w:sz w:val="28"/>
                <w:szCs w:val="28"/>
              </w:rPr>
            </w:pPr>
            <w:r>
              <w:rPr>
                <w:rFonts w:hint="eastAsia"/>
                <w:sz w:val="28"/>
                <w:szCs w:val="28"/>
              </w:rPr>
              <w:t>1</w:t>
            </w:r>
          </w:p>
        </w:tc>
        <w:tc>
          <w:tcPr>
            <w:tcW w:w="1486" w:type="pct"/>
            <w:vAlign w:val="center"/>
          </w:tcPr>
          <w:p>
            <w:pPr>
              <w:pStyle w:val="9"/>
              <w:spacing w:before="0" w:beforeAutospacing="0" w:after="0" w:afterAutospacing="0" w:line="500" w:lineRule="exact"/>
              <w:jc w:val="center"/>
              <w:rPr>
                <w:sz w:val="28"/>
                <w:szCs w:val="28"/>
              </w:rPr>
            </w:pPr>
            <w:r>
              <w:rPr>
                <w:rFonts w:hint="eastAsia"/>
                <w:sz w:val="28"/>
                <w:szCs w:val="28"/>
              </w:rPr>
              <w:t>1</w:t>
            </w:r>
          </w:p>
        </w:tc>
        <w:tc>
          <w:tcPr>
            <w:tcW w:w="1891" w:type="pct"/>
            <w:vAlign w:val="center"/>
          </w:tcPr>
          <w:p>
            <w:pPr>
              <w:pStyle w:val="9"/>
              <w:spacing w:before="0" w:beforeAutospacing="0" w:after="0" w:afterAutospacing="0" w:line="500" w:lineRule="exact"/>
              <w:jc w:val="center"/>
              <w:rPr>
                <w:sz w:val="28"/>
                <w:szCs w:val="28"/>
              </w:rPr>
            </w:pPr>
            <w:r>
              <w:rPr>
                <w:rFonts w:hint="eastAsia"/>
                <w:sz w:val="28"/>
                <w:szCs w:val="28"/>
              </w:rPr>
              <w:t>50%</w:t>
            </w:r>
          </w:p>
        </w:tc>
        <w:tc>
          <w:tcPr>
            <w:tcW w:w="653" w:type="pct"/>
            <w:vAlign w:val="center"/>
          </w:tcPr>
          <w:p>
            <w:pPr>
              <w:pStyle w:val="9"/>
              <w:spacing w:before="0" w:beforeAutospacing="0" w:after="0" w:afterAutospacing="0" w:line="500" w:lineRule="exact"/>
              <w:ind w:firstLine="48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24" w:hRule="atLeast"/>
          <w:jc w:val="center"/>
        </w:trPr>
        <w:tc>
          <w:tcPr>
            <w:tcW w:w="968" w:type="pct"/>
            <w:vAlign w:val="center"/>
          </w:tcPr>
          <w:p>
            <w:pPr>
              <w:pStyle w:val="9"/>
              <w:spacing w:before="0" w:beforeAutospacing="0" w:after="0" w:afterAutospacing="0" w:line="500" w:lineRule="exact"/>
              <w:jc w:val="center"/>
              <w:rPr>
                <w:sz w:val="28"/>
                <w:szCs w:val="28"/>
              </w:rPr>
            </w:pPr>
            <w:r>
              <w:rPr>
                <w:rFonts w:hint="eastAsia"/>
                <w:sz w:val="28"/>
                <w:szCs w:val="28"/>
              </w:rPr>
              <w:t>2</w:t>
            </w:r>
          </w:p>
        </w:tc>
        <w:tc>
          <w:tcPr>
            <w:tcW w:w="1486" w:type="pct"/>
            <w:vAlign w:val="center"/>
          </w:tcPr>
          <w:p>
            <w:pPr>
              <w:pStyle w:val="9"/>
              <w:spacing w:before="0" w:beforeAutospacing="0" w:after="0" w:afterAutospacing="0" w:line="500" w:lineRule="exact"/>
              <w:jc w:val="center"/>
              <w:rPr>
                <w:sz w:val="28"/>
                <w:szCs w:val="28"/>
              </w:rPr>
            </w:pPr>
            <w:r>
              <w:rPr>
                <w:rFonts w:hint="eastAsia"/>
                <w:sz w:val="28"/>
                <w:szCs w:val="28"/>
              </w:rPr>
              <w:t>2</w:t>
            </w:r>
          </w:p>
        </w:tc>
        <w:tc>
          <w:tcPr>
            <w:tcW w:w="1891" w:type="pct"/>
            <w:vAlign w:val="center"/>
          </w:tcPr>
          <w:p>
            <w:pPr>
              <w:pStyle w:val="9"/>
              <w:spacing w:before="0" w:beforeAutospacing="0" w:after="0" w:afterAutospacing="0" w:line="500" w:lineRule="exact"/>
              <w:jc w:val="center"/>
              <w:rPr>
                <w:sz w:val="28"/>
                <w:szCs w:val="28"/>
              </w:rPr>
            </w:pPr>
            <w:r>
              <w:rPr>
                <w:rFonts w:hint="eastAsia"/>
                <w:sz w:val="28"/>
                <w:szCs w:val="28"/>
              </w:rPr>
              <w:t>30%</w:t>
            </w:r>
          </w:p>
        </w:tc>
        <w:tc>
          <w:tcPr>
            <w:tcW w:w="653" w:type="pct"/>
            <w:vAlign w:val="center"/>
          </w:tcPr>
          <w:p>
            <w:pPr>
              <w:pStyle w:val="9"/>
              <w:spacing w:before="0" w:beforeAutospacing="0" w:after="0" w:afterAutospacing="0" w:line="500" w:lineRule="exact"/>
              <w:ind w:firstLine="48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69" w:hRule="atLeast"/>
          <w:jc w:val="center"/>
        </w:trPr>
        <w:tc>
          <w:tcPr>
            <w:tcW w:w="968" w:type="pct"/>
            <w:vAlign w:val="center"/>
          </w:tcPr>
          <w:p>
            <w:pPr>
              <w:pStyle w:val="9"/>
              <w:spacing w:before="0" w:beforeAutospacing="0" w:after="0" w:afterAutospacing="0" w:line="500" w:lineRule="exact"/>
              <w:jc w:val="center"/>
              <w:rPr>
                <w:sz w:val="28"/>
                <w:szCs w:val="28"/>
              </w:rPr>
            </w:pPr>
            <w:r>
              <w:rPr>
                <w:rFonts w:hint="eastAsia"/>
                <w:sz w:val="28"/>
                <w:szCs w:val="28"/>
              </w:rPr>
              <w:t>3</w:t>
            </w:r>
          </w:p>
        </w:tc>
        <w:tc>
          <w:tcPr>
            <w:tcW w:w="1486" w:type="pct"/>
            <w:vAlign w:val="center"/>
          </w:tcPr>
          <w:p>
            <w:pPr>
              <w:pStyle w:val="9"/>
              <w:spacing w:before="0" w:beforeAutospacing="0" w:after="0" w:afterAutospacing="0" w:line="500" w:lineRule="exact"/>
              <w:jc w:val="center"/>
              <w:rPr>
                <w:sz w:val="28"/>
                <w:szCs w:val="28"/>
              </w:rPr>
            </w:pPr>
            <w:r>
              <w:rPr>
                <w:rFonts w:hint="eastAsia"/>
                <w:sz w:val="28"/>
                <w:szCs w:val="28"/>
              </w:rPr>
              <w:t>3</w:t>
            </w:r>
          </w:p>
        </w:tc>
        <w:tc>
          <w:tcPr>
            <w:tcW w:w="1891" w:type="pct"/>
            <w:vAlign w:val="center"/>
          </w:tcPr>
          <w:p>
            <w:pPr>
              <w:pStyle w:val="9"/>
              <w:spacing w:before="0" w:beforeAutospacing="0" w:after="0" w:afterAutospacing="0" w:line="500" w:lineRule="exact"/>
              <w:jc w:val="center"/>
              <w:rPr>
                <w:sz w:val="28"/>
                <w:szCs w:val="28"/>
              </w:rPr>
            </w:pPr>
            <w:r>
              <w:rPr>
                <w:rFonts w:hint="eastAsia"/>
                <w:sz w:val="28"/>
                <w:szCs w:val="28"/>
              </w:rPr>
              <w:t>20%</w:t>
            </w:r>
          </w:p>
        </w:tc>
        <w:tc>
          <w:tcPr>
            <w:tcW w:w="653" w:type="pct"/>
            <w:vAlign w:val="center"/>
          </w:tcPr>
          <w:p>
            <w:pPr>
              <w:pStyle w:val="9"/>
              <w:spacing w:before="0" w:beforeAutospacing="0" w:after="0" w:afterAutospacing="0" w:line="500" w:lineRule="exact"/>
              <w:ind w:firstLine="480"/>
              <w:jc w:val="center"/>
              <w:rPr>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376" w:hRule="atLeast"/>
          <w:jc w:val="center"/>
        </w:trPr>
        <w:tc>
          <w:tcPr>
            <w:tcW w:w="968" w:type="pct"/>
            <w:vAlign w:val="center"/>
          </w:tcPr>
          <w:p>
            <w:pPr>
              <w:pStyle w:val="9"/>
              <w:spacing w:before="0" w:beforeAutospacing="0" w:after="0" w:afterAutospacing="0" w:line="500" w:lineRule="exact"/>
              <w:jc w:val="center"/>
              <w:rPr>
                <w:sz w:val="28"/>
                <w:szCs w:val="28"/>
              </w:rPr>
            </w:pPr>
            <w:r>
              <w:rPr>
                <w:rFonts w:hint="eastAsia"/>
                <w:sz w:val="28"/>
                <w:szCs w:val="28"/>
              </w:rPr>
              <w:t>4</w:t>
            </w:r>
          </w:p>
        </w:tc>
        <w:tc>
          <w:tcPr>
            <w:tcW w:w="1486" w:type="pct"/>
            <w:vAlign w:val="center"/>
          </w:tcPr>
          <w:p>
            <w:pPr>
              <w:pStyle w:val="9"/>
              <w:spacing w:before="0" w:beforeAutospacing="0" w:after="0" w:afterAutospacing="0" w:line="500" w:lineRule="exact"/>
              <w:jc w:val="center"/>
              <w:rPr>
                <w:sz w:val="28"/>
                <w:szCs w:val="28"/>
              </w:rPr>
            </w:pPr>
            <w:r>
              <w:rPr>
                <w:rFonts w:hint="eastAsia"/>
                <w:sz w:val="28"/>
                <w:szCs w:val="28"/>
              </w:rPr>
              <w:t>4及以后</w:t>
            </w:r>
          </w:p>
        </w:tc>
        <w:tc>
          <w:tcPr>
            <w:tcW w:w="1891" w:type="pct"/>
            <w:vAlign w:val="center"/>
          </w:tcPr>
          <w:p>
            <w:pPr>
              <w:pStyle w:val="9"/>
              <w:spacing w:before="0" w:beforeAutospacing="0" w:after="0" w:afterAutospacing="0" w:line="500" w:lineRule="exact"/>
              <w:jc w:val="center"/>
              <w:rPr>
                <w:sz w:val="28"/>
                <w:szCs w:val="28"/>
              </w:rPr>
            </w:pPr>
            <w:r>
              <w:rPr>
                <w:rFonts w:hint="eastAsia"/>
                <w:sz w:val="28"/>
                <w:szCs w:val="28"/>
              </w:rPr>
              <w:t>0%</w:t>
            </w:r>
          </w:p>
        </w:tc>
        <w:tc>
          <w:tcPr>
            <w:tcW w:w="653" w:type="pct"/>
            <w:vAlign w:val="center"/>
          </w:tcPr>
          <w:p>
            <w:pPr>
              <w:pStyle w:val="9"/>
              <w:spacing w:before="0" w:beforeAutospacing="0" w:after="0" w:afterAutospacing="0" w:line="500" w:lineRule="exact"/>
              <w:ind w:firstLine="480"/>
              <w:jc w:val="center"/>
              <w:rPr>
                <w:sz w:val="28"/>
                <w:szCs w:val="28"/>
              </w:rPr>
            </w:pPr>
          </w:p>
        </w:tc>
      </w:tr>
    </w:tbl>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sz w:val="30"/>
          <w:szCs w:val="30"/>
        </w:rPr>
      </w:pPr>
      <w:r>
        <w:rPr>
          <w:rFonts w:hint="eastAsia"/>
          <w:sz w:val="30"/>
          <w:szCs w:val="30"/>
        </w:rPr>
        <w:t>9.到国际组织实习等社会服务（Z5）</w:t>
      </w:r>
      <w:r>
        <w:rPr>
          <w:rFonts w:hint="eastAsia"/>
          <w:sz w:val="30"/>
          <w:szCs w:val="30"/>
          <w:lang w:eastAsia="zh-CN"/>
        </w:rPr>
        <w:t>，</w:t>
      </w:r>
      <w:r>
        <w:rPr>
          <w:rFonts w:hint="eastAsia"/>
          <w:sz w:val="30"/>
          <w:szCs w:val="30"/>
        </w:rPr>
        <w:t>计100分。</w:t>
      </w:r>
    </w:p>
    <w:p>
      <w:pPr>
        <w:pStyle w:val="9"/>
        <w:keepNext w:val="0"/>
        <w:keepLines w:val="0"/>
        <w:pageBreakBefore w:val="0"/>
        <w:widowControl/>
        <w:kinsoku/>
        <w:wordWrap/>
        <w:overflowPunct/>
        <w:topLinePunct w:val="0"/>
        <w:autoSpaceDE/>
        <w:autoSpaceDN/>
        <w:bidi w:val="0"/>
        <w:adjustRightInd/>
        <w:snapToGrid/>
        <w:spacing w:before="0" w:beforeAutospacing="0" w:after="0" w:afterAutospacing="0" w:line="500" w:lineRule="exact"/>
        <w:ind w:firstLine="600" w:firstLineChars="200"/>
        <w:jc w:val="both"/>
        <w:textAlignment w:val="auto"/>
        <w:rPr>
          <w:sz w:val="30"/>
          <w:szCs w:val="30"/>
        </w:rPr>
      </w:pPr>
      <w:r>
        <w:rPr>
          <w:rFonts w:hint="eastAsia"/>
          <w:sz w:val="30"/>
          <w:szCs w:val="30"/>
        </w:rPr>
        <w:t>10.综合荣誉等其他（Z6）。学生获评全国三好学生、全国优秀学生干部、中国大学生自强之星（含提名奖），山东省优秀学生干部、山东省优秀学生，青岛市百名优秀大学生等综合奖项，经遴选工作小组审核认定，计100分（国家级）、80分（省部级）和50分（地市级）。学生班集体等集体获奖的，学生个人不计分。原则上学生提交的不同类别奖项材料不超过2项（含），同类别只提交最高奖项。</w:t>
      </w:r>
    </w:p>
    <w:p>
      <w:pPr>
        <w:pStyle w:val="9"/>
        <w:spacing w:before="0" w:beforeAutospacing="0" w:after="0" w:afterAutospacing="0" w:line="500" w:lineRule="exact"/>
        <w:jc w:val="both"/>
        <w:rPr>
          <w:sz w:val="30"/>
          <w:szCs w:val="30"/>
        </w:rPr>
      </w:pPr>
      <w:r>
        <w:rPr>
          <w:rStyle w:val="13"/>
          <w:rFonts w:hint="eastAsia"/>
          <w:sz w:val="30"/>
          <w:szCs w:val="30"/>
        </w:rPr>
        <w:t>五、推荐工作程序</w:t>
      </w:r>
    </w:p>
    <w:p>
      <w:pPr>
        <w:pStyle w:val="9"/>
        <w:spacing w:before="0" w:beforeAutospacing="0" w:after="0" w:afterAutospacing="0" w:line="500" w:lineRule="exact"/>
        <w:ind w:firstLine="600" w:firstLineChars="200"/>
        <w:jc w:val="both"/>
        <w:rPr>
          <w:sz w:val="30"/>
          <w:szCs w:val="30"/>
        </w:rPr>
      </w:pPr>
      <w:r>
        <w:rPr>
          <w:rFonts w:hint="eastAsia"/>
          <w:sz w:val="30"/>
          <w:szCs w:val="30"/>
        </w:rPr>
        <w:t>（一）根据上级、学校推免文件，制定本学院推免工作实施细则，报学校推免领导小组审核备案，通过后及时在本学院网站公布。</w:t>
      </w:r>
    </w:p>
    <w:p>
      <w:pPr>
        <w:pStyle w:val="9"/>
        <w:spacing w:before="0" w:beforeAutospacing="0" w:after="0" w:afterAutospacing="0" w:line="500" w:lineRule="exact"/>
        <w:ind w:firstLine="600" w:firstLineChars="200"/>
        <w:jc w:val="both"/>
        <w:rPr>
          <w:sz w:val="30"/>
          <w:szCs w:val="30"/>
        </w:rPr>
      </w:pPr>
      <w:r>
        <w:rPr>
          <w:rFonts w:hint="eastAsia"/>
          <w:sz w:val="30"/>
          <w:szCs w:val="30"/>
        </w:rPr>
        <w:t>（二）学院严格执行回避制度，如有需要回避或报备等情况，须报送《青岛理工大学推免工作回避申请表》和《青岛理工大学推免工作报备表》。</w:t>
      </w:r>
    </w:p>
    <w:p>
      <w:pPr>
        <w:pStyle w:val="9"/>
        <w:spacing w:before="0" w:beforeAutospacing="0" w:after="0" w:afterAutospacing="0" w:line="500" w:lineRule="exact"/>
        <w:ind w:firstLine="600" w:firstLineChars="200"/>
        <w:jc w:val="both"/>
        <w:rPr>
          <w:sz w:val="30"/>
          <w:szCs w:val="30"/>
        </w:rPr>
      </w:pPr>
      <w:r>
        <w:rPr>
          <w:rFonts w:hint="eastAsia"/>
          <w:sz w:val="30"/>
          <w:szCs w:val="30"/>
        </w:rPr>
        <w:t>（三）符合申请条件的学生，由本人在规定时间内向所在学院提出申请，提交《青岛理工大学免试攻读硕士学位研究生申请表》、《承诺书》、《成绩单》（要有教务处公章，原件及PDF扫描件），并按要求提供代表本人能力、素质、学术专长及其它相关原件、复印件证明材料。申请推免学生如有非直系亲属参加本人所在学院推免遴选工作，还须提交《青岛理工大学推免工作报备表》。申请时学生的专业身份变化未满一学期者，向原所在学院提出申请。申请时应提交书面承诺，保证在确认招生单位的“待录取”通知后不擅自放弃，如擅自放弃，作为不诚信记录记入个人档案。</w:t>
      </w:r>
    </w:p>
    <w:p>
      <w:pPr>
        <w:pStyle w:val="9"/>
        <w:spacing w:before="0" w:beforeAutospacing="0" w:after="0" w:afterAutospacing="0" w:line="500" w:lineRule="exact"/>
        <w:ind w:firstLine="600" w:firstLineChars="200"/>
        <w:jc w:val="both"/>
        <w:rPr>
          <w:sz w:val="30"/>
          <w:szCs w:val="30"/>
        </w:rPr>
      </w:pPr>
      <w:r>
        <w:rPr>
          <w:rFonts w:hint="eastAsia"/>
          <w:sz w:val="30"/>
          <w:szCs w:val="30"/>
        </w:rPr>
        <w:t>（四）学院会同学生处、团委、保卫处、教务处等对申请推免学生的资格和提交相关证明材料进行初审，初审通过的学生名单及相关信息要在学院网站上公布。</w:t>
      </w:r>
    </w:p>
    <w:p>
      <w:pPr>
        <w:pStyle w:val="9"/>
        <w:spacing w:before="0" w:beforeAutospacing="0" w:after="0" w:afterAutospacing="0" w:line="500" w:lineRule="exact"/>
        <w:ind w:firstLine="600" w:firstLineChars="200"/>
        <w:jc w:val="both"/>
        <w:rPr>
          <w:sz w:val="30"/>
          <w:szCs w:val="30"/>
        </w:rPr>
      </w:pPr>
      <w:r>
        <w:rPr>
          <w:rFonts w:hint="eastAsia"/>
          <w:sz w:val="30"/>
          <w:szCs w:val="30"/>
        </w:rPr>
        <w:t>（五）严格审核认定申请推免资格学生的特殊学术专长：</w:t>
      </w:r>
    </w:p>
    <w:p>
      <w:pPr>
        <w:pStyle w:val="9"/>
        <w:spacing w:before="0" w:beforeAutospacing="0" w:after="0" w:afterAutospacing="0" w:line="500" w:lineRule="exact"/>
        <w:ind w:firstLine="600" w:firstLineChars="200"/>
        <w:jc w:val="both"/>
        <w:rPr>
          <w:sz w:val="30"/>
          <w:szCs w:val="30"/>
        </w:rPr>
      </w:pPr>
      <w:r>
        <w:rPr>
          <w:rFonts w:hint="eastAsia"/>
          <w:sz w:val="30"/>
          <w:szCs w:val="30"/>
        </w:rPr>
        <w:t>1.成立专家审核小组（专家组成员应具有相关的学科具有副教授以上职称，且不少于5人），对申请推免资格学生的科研成果（论文）、竞赛获奖及内容进行审核鉴定，排除抄袭、造假、冒名及有名无实等情况。</w:t>
      </w:r>
    </w:p>
    <w:p>
      <w:pPr>
        <w:pStyle w:val="9"/>
        <w:spacing w:before="0" w:beforeAutospacing="0" w:after="0" w:afterAutospacing="0" w:line="500" w:lineRule="exact"/>
        <w:ind w:firstLine="600" w:firstLineChars="200"/>
        <w:jc w:val="both"/>
        <w:rPr>
          <w:sz w:val="30"/>
          <w:szCs w:val="30"/>
        </w:rPr>
      </w:pPr>
      <w:r>
        <w:rPr>
          <w:rFonts w:hint="eastAsia"/>
          <w:sz w:val="30"/>
          <w:szCs w:val="30"/>
        </w:rPr>
        <w:t>2.组织相关学生在一定范围进行公开答辩。</w:t>
      </w:r>
    </w:p>
    <w:p>
      <w:pPr>
        <w:pStyle w:val="9"/>
        <w:spacing w:before="0" w:beforeAutospacing="0" w:after="0" w:afterAutospacing="0" w:line="500" w:lineRule="exact"/>
        <w:ind w:firstLine="600" w:firstLineChars="200"/>
        <w:jc w:val="both"/>
        <w:rPr>
          <w:sz w:val="30"/>
          <w:szCs w:val="30"/>
        </w:rPr>
      </w:pPr>
      <w:r>
        <w:rPr>
          <w:rFonts w:hint="eastAsia"/>
          <w:sz w:val="30"/>
          <w:szCs w:val="30"/>
        </w:rPr>
        <w:t>3.对学生提交的多篇科研成果（论文）实行代表作评价（学生提交不超过3篇），专家审核小组评价，重点聚焦到创新质量和个人贡献。</w:t>
      </w:r>
    </w:p>
    <w:p>
      <w:pPr>
        <w:pStyle w:val="9"/>
        <w:spacing w:before="0" w:beforeAutospacing="0" w:after="0" w:afterAutospacing="0" w:line="500" w:lineRule="exact"/>
        <w:ind w:firstLine="600" w:firstLineChars="200"/>
        <w:jc w:val="both"/>
        <w:rPr>
          <w:sz w:val="30"/>
          <w:szCs w:val="30"/>
        </w:rPr>
      </w:pPr>
      <w:r>
        <w:rPr>
          <w:rFonts w:hint="eastAsia"/>
          <w:sz w:val="30"/>
          <w:szCs w:val="30"/>
        </w:rPr>
        <w:t>4.对申请推免资格学生的每个特殊专长项目，专家审核小组及每位成员都要给出明确的审核鉴定意见并签字存档。</w:t>
      </w:r>
    </w:p>
    <w:p>
      <w:pPr>
        <w:pStyle w:val="9"/>
        <w:spacing w:before="0" w:beforeAutospacing="0" w:after="0" w:afterAutospacing="0" w:line="500" w:lineRule="exact"/>
        <w:ind w:firstLine="600" w:firstLineChars="200"/>
        <w:jc w:val="both"/>
        <w:rPr>
          <w:sz w:val="30"/>
          <w:szCs w:val="30"/>
        </w:rPr>
      </w:pPr>
      <w:r>
        <w:rPr>
          <w:rFonts w:hint="eastAsia"/>
          <w:sz w:val="30"/>
          <w:szCs w:val="30"/>
        </w:rPr>
        <w:t>5.在专家小组审核答辩过程中，有三分之一及以上专家小组成员认定学生所提交的科研成果（论文）、竞赛获奖奖项及内容存在抄袭、造假、冒名及有名无实等情况，则取消其申请资格，按照学校学术不端相关文件给予相应处理，学校追究相关学院审查不严责任。</w:t>
      </w:r>
    </w:p>
    <w:p>
      <w:pPr>
        <w:pStyle w:val="9"/>
        <w:spacing w:before="0" w:beforeAutospacing="0" w:after="0" w:afterAutospacing="0" w:line="500" w:lineRule="exact"/>
        <w:ind w:firstLine="600" w:firstLineChars="200"/>
        <w:jc w:val="both"/>
        <w:rPr>
          <w:sz w:val="30"/>
          <w:szCs w:val="30"/>
        </w:rPr>
      </w:pPr>
      <w:r>
        <w:rPr>
          <w:rFonts w:hint="eastAsia"/>
          <w:sz w:val="30"/>
          <w:szCs w:val="30"/>
        </w:rPr>
        <w:t>6.答辩全程要录音录像，答辩结果要公开公示。</w:t>
      </w:r>
    </w:p>
    <w:p>
      <w:pPr>
        <w:pStyle w:val="9"/>
        <w:spacing w:before="0" w:beforeAutospacing="0" w:after="0" w:afterAutospacing="0" w:line="500" w:lineRule="exact"/>
        <w:ind w:firstLine="600" w:firstLineChars="200"/>
        <w:jc w:val="both"/>
        <w:rPr>
          <w:sz w:val="30"/>
          <w:szCs w:val="30"/>
        </w:rPr>
      </w:pPr>
      <w:r>
        <w:rPr>
          <w:rFonts w:hint="eastAsia"/>
          <w:sz w:val="30"/>
          <w:szCs w:val="30"/>
        </w:rPr>
        <w:t>7.通过审核鉴定或答辩的学生特殊学术专长，须在推免服务系统和本学院网站上予以公示。未通过审核鉴定或答辩的，不得纳入推免遴选综合</w:t>
      </w:r>
      <w:r>
        <w:rPr>
          <w:rFonts w:hint="eastAsia"/>
          <w:sz w:val="30"/>
          <w:szCs w:val="30"/>
          <w:lang w:val="en-US" w:eastAsia="zh-CN"/>
        </w:rPr>
        <w:t>排名</w:t>
      </w:r>
      <w:r>
        <w:rPr>
          <w:rFonts w:hint="eastAsia"/>
          <w:sz w:val="30"/>
          <w:szCs w:val="30"/>
        </w:rPr>
        <w:t>成绩计算体系。</w:t>
      </w:r>
    </w:p>
    <w:p>
      <w:pPr>
        <w:pStyle w:val="9"/>
        <w:spacing w:before="0" w:beforeAutospacing="0" w:after="0" w:afterAutospacing="0" w:line="500" w:lineRule="exact"/>
        <w:ind w:firstLine="600" w:firstLineChars="200"/>
        <w:jc w:val="both"/>
        <w:rPr>
          <w:sz w:val="30"/>
          <w:szCs w:val="30"/>
        </w:rPr>
      </w:pPr>
      <w:r>
        <w:rPr>
          <w:rFonts w:hint="eastAsia"/>
          <w:sz w:val="30"/>
          <w:szCs w:val="30"/>
        </w:rPr>
        <w:t>（六）学院根据推免实施细则，确定推免生拟推荐名单。同时，按推免名额 0.5 倍的比例（小数点向上取整）确定候补推荐名单（在备注中注明“候补 1”、“候补 2”、“候补 3”等字样），名单在学院网站公布。公布无异议后，向推免领导小组推荐。</w:t>
      </w:r>
    </w:p>
    <w:p>
      <w:pPr>
        <w:pStyle w:val="9"/>
        <w:spacing w:before="0" w:beforeAutospacing="0" w:after="0" w:afterAutospacing="0" w:line="500" w:lineRule="exact"/>
        <w:ind w:firstLine="600" w:firstLineChars="200"/>
        <w:jc w:val="both"/>
        <w:rPr>
          <w:sz w:val="30"/>
          <w:szCs w:val="30"/>
        </w:rPr>
      </w:pPr>
      <w:r>
        <w:rPr>
          <w:rFonts w:hint="eastAsia"/>
          <w:sz w:val="30"/>
          <w:szCs w:val="30"/>
        </w:rPr>
        <w:t>（七）学校推免领导小组审定拟推荐名单，经研究后在教务处网站公示拟推荐名单，公示期为10个工作日。</w:t>
      </w:r>
    </w:p>
    <w:p>
      <w:pPr>
        <w:pStyle w:val="9"/>
        <w:spacing w:before="0" w:beforeAutospacing="0" w:after="0" w:afterAutospacing="0" w:line="500" w:lineRule="exact"/>
        <w:ind w:firstLine="600" w:firstLineChars="200"/>
        <w:jc w:val="both"/>
        <w:rPr>
          <w:sz w:val="30"/>
          <w:szCs w:val="30"/>
        </w:rPr>
      </w:pPr>
      <w:r>
        <w:rPr>
          <w:rFonts w:hint="eastAsia"/>
          <w:sz w:val="30"/>
          <w:szCs w:val="30"/>
        </w:rPr>
        <w:t>（八）教务处通过推免服务系统，将学校拟推荐名单上报省教育招生考试院审核。</w:t>
      </w:r>
    </w:p>
    <w:p>
      <w:pPr>
        <w:pStyle w:val="9"/>
        <w:spacing w:before="0" w:beforeAutospacing="0" w:after="0" w:afterAutospacing="0" w:line="500" w:lineRule="exact"/>
        <w:ind w:firstLine="600" w:firstLineChars="200"/>
        <w:jc w:val="both"/>
        <w:rPr>
          <w:sz w:val="30"/>
          <w:szCs w:val="30"/>
        </w:rPr>
      </w:pPr>
      <w:r>
        <w:rPr>
          <w:rFonts w:hint="eastAsia"/>
          <w:sz w:val="30"/>
          <w:szCs w:val="30"/>
        </w:rPr>
        <w:t>（九）获得推免资格的学生须在规定时间内登录推免服务系统完成注册并缴费。</w:t>
      </w:r>
    </w:p>
    <w:p>
      <w:pPr>
        <w:pStyle w:val="9"/>
        <w:spacing w:before="0" w:beforeAutospacing="0" w:after="0" w:afterAutospacing="0" w:line="500" w:lineRule="exact"/>
        <w:jc w:val="both"/>
        <w:rPr>
          <w:sz w:val="30"/>
          <w:szCs w:val="30"/>
        </w:rPr>
      </w:pPr>
      <w:r>
        <w:rPr>
          <w:rStyle w:val="13"/>
          <w:rFonts w:hint="eastAsia"/>
          <w:sz w:val="30"/>
          <w:szCs w:val="30"/>
        </w:rPr>
        <w:t>六、推荐工作时间安排</w:t>
      </w:r>
    </w:p>
    <w:p>
      <w:pPr>
        <w:pStyle w:val="9"/>
        <w:spacing w:before="0" w:beforeAutospacing="0" w:after="0" w:afterAutospacing="0" w:line="500" w:lineRule="exact"/>
        <w:ind w:firstLine="570"/>
        <w:jc w:val="both"/>
        <w:rPr>
          <w:sz w:val="30"/>
          <w:szCs w:val="30"/>
        </w:rPr>
      </w:pPr>
      <w:r>
        <w:rPr>
          <w:rFonts w:hint="eastAsia"/>
          <w:sz w:val="30"/>
          <w:szCs w:val="30"/>
        </w:rPr>
        <w:t>（一）9月13日学院根据学校推免工作实施办法，制定有关推免工作实施细则和成立学院推免生遴选工作小组，报学校推免领导小组审核备案，并公布经学校审核通过的细则。</w:t>
      </w:r>
    </w:p>
    <w:p>
      <w:pPr>
        <w:pStyle w:val="9"/>
        <w:spacing w:before="0" w:beforeAutospacing="0" w:after="0" w:afterAutospacing="0" w:line="500" w:lineRule="exact"/>
        <w:ind w:firstLine="570"/>
        <w:jc w:val="both"/>
        <w:rPr>
          <w:sz w:val="30"/>
          <w:szCs w:val="30"/>
        </w:rPr>
      </w:pPr>
      <w:r>
        <w:rPr>
          <w:rFonts w:hint="eastAsia"/>
          <w:sz w:val="30"/>
          <w:szCs w:val="30"/>
        </w:rPr>
        <w:t>（二）凡符合推免生申请条件且自愿参加推免的学生在9月15日18:00前向学院提交申请材料：《青岛理工大学免试攻读硕士学位研究生申请表》、《承诺书》、《成绩单》（要有教务处公章，原件及PDF扫描件），并按要求提供代表本人能力、素质、学术专长及其它相关原件、复印件证明材料。申请材料报送辅导员处。</w:t>
      </w:r>
    </w:p>
    <w:p>
      <w:pPr>
        <w:pStyle w:val="9"/>
        <w:spacing w:before="0" w:beforeAutospacing="0" w:after="0" w:afterAutospacing="0" w:line="500" w:lineRule="exact"/>
        <w:ind w:firstLine="570"/>
        <w:jc w:val="both"/>
        <w:rPr>
          <w:sz w:val="30"/>
          <w:szCs w:val="30"/>
        </w:rPr>
      </w:pPr>
      <w:r>
        <w:rPr>
          <w:rFonts w:hint="eastAsia"/>
          <w:sz w:val="30"/>
          <w:szCs w:val="30"/>
        </w:rPr>
        <w:t>（三）9月16日召开学院推免工作小组评审会议，审核申请学生的报名资格及提交相关材料的真实性，公布审核通过的学生名单及相关信息，组织相关学科专业审核专家组完成推免生特殊学术专长审核答辩。</w:t>
      </w:r>
    </w:p>
    <w:p>
      <w:pPr>
        <w:pStyle w:val="9"/>
        <w:spacing w:before="0" w:beforeAutospacing="0" w:after="0" w:afterAutospacing="0" w:line="500" w:lineRule="exact"/>
        <w:ind w:firstLine="570"/>
        <w:jc w:val="both"/>
        <w:rPr>
          <w:rFonts w:hint="eastAsia"/>
          <w:sz w:val="30"/>
          <w:szCs w:val="30"/>
        </w:rPr>
      </w:pPr>
      <w:r>
        <w:rPr>
          <w:rFonts w:hint="eastAsia"/>
          <w:sz w:val="30"/>
          <w:szCs w:val="30"/>
        </w:rPr>
        <w:t>（四）9月17日学院报送拟推荐名单、候补推荐名单及相关材料，并在网站上公布拟推荐名单。</w:t>
      </w:r>
    </w:p>
    <w:p>
      <w:pPr>
        <w:pStyle w:val="9"/>
        <w:spacing w:before="0" w:beforeAutospacing="0" w:after="0" w:afterAutospacing="0" w:line="500" w:lineRule="exact"/>
        <w:jc w:val="both"/>
        <w:rPr>
          <w:sz w:val="30"/>
          <w:szCs w:val="30"/>
        </w:rPr>
      </w:pPr>
      <w:r>
        <w:rPr>
          <w:rStyle w:val="13"/>
          <w:rFonts w:hint="eastAsia"/>
          <w:sz w:val="30"/>
          <w:szCs w:val="30"/>
        </w:rPr>
        <w:t>七、其它</w:t>
      </w:r>
    </w:p>
    <w:p>
      <w:pPr>
        <w:pStyle w:val="9"/>
        <w:spacing w:before="0" w:beforeAutospacing="0" w:after="0" w:afterAutospacing="0" w:line="500" w:lineRule="exact"/>
        <w:ind w:firstLine="600" w:firstLineChars="200"/>
        <w:jc w:val="both"/>
        <w:rPr>
          <w:sz w:val="30"/>
          <w:szCs w:val="30"/>
        </w:rPr>
      </w:pPr>
      <w:r>
        <w:rPr>
          <w:rFonts w:hint="eastAsia"/>
          <w:sz w:val="30"/>
          <w:szCs w:val="30"/>
        </w:rPr>
        <w:t>学院将认真执行国家推免生工作有关政策规定和推免生工作实施办法，维护推免生工作的权威性和严肃性，要确保推免生工作政策透明、信息公开、申诉渠道畅通，切实保证推免生工作的公平公正。</w:t>
      </w:r>
    </w:p>
    <w:p>
      <w:pPr>
        <w:pStyle w:val="9"/>
        <w:spacing w:before="0" w:beforeAutospacing="0" w:after="0" w:afterAutospacing="0" w:line="500" w:lineRule="exact"/>
        <w:ind w:firstLine="600" w:firstLineChars="200"/>
        <w:jc w:val="both"/>
        <w:rPr>
          <w:sz w:val="30"/>
          <w:szCs w:val="30"/>
        </w:rPr>
      </w:pPr>
      <w:r>
        <w:rPr>
          <w:rFonts w:hint="eastAsia"/>
          <w:sz w:val="30"/>
          <w:szCs w:val="30"/>
        </w:rPr>
        <w:t>（一）严查学术不端、造假等违规违纪行为。对推免过程中弄虚作假，提交学术专长证明材料存在抄袭、造假、冒名及有名无实等不端行为的学生，一经查实立即取消推免生资格。</w:t>
      </w:r>
    </w:p>
    <w:p>
      <w:pPr>
        <w:pStyle w:val="9"/>
        <w:spacing w:before="0" w:beforeAutospacing="0" w:after="0" w:afterAutospacing="0" w:line="500" w:lineRule="exact"/>
        <w:ind w:firstLine="600" w:firstLineChars="200"/>
        <w:jc w:val="both"/>
        <w:rPr>
          <w:sz w:val="30"/>
          <w:szCs w:val="30"/>
        </w:rPr>
      </w:pPr>
      <w:r>
        <w:rPr>
          <w:rFonts w:hint="eastAsia"/>
          <w:sz w:val="30"/>
          <w:szCs w:val="30"/>
        </w:rPr>
        <w:t>（二）获得推免生资格的学生，在正式入学前，有以下情况之一者，学校将取消其推免生资格：</w:t>
      </w:r>
    </w:p>
    <w:p>
      <w:pPr>
        <w:pStyle w:val="9"/>
        <w:spacing w:before="0" w:beforeAutospacing="0" w:after="0" w:afterAutospacing="0" w:line="500" w:lineRule="exact"/>
        <w:ind w:firstLine="600" w:firstLineChars="200"/>
        <w:jc w:val="both"/>
        <w:rPr>
          <w:sz w:val="30"/>
          <w:szCs w:val="30"/>
        </w:rPr>
      </w:pPr>
      <w:r>
        <w:rPr>
          <w:rFonts w:hint="eastAsia"/>
          <w:sz w:val="30"/>
          <w:szCs w:val="30"/>
        </w:rPr>
        <w:t>1.不能按时完成本科阶段学业并取得学士学位者。</w:t>
      </w:r>
    </w:p>
    <w:p>
      <w:pPr>
        <w:pStyle w:val="9"/>
        <w:spacing w:before="0" w:beforeAutospacing="0" w:after="0" w:afterAutospacing="0" w:line="500" w:lineRule="exact"/>
        <w:ind w:firstLine="600" w:firstLineChars="200"/>
        <w:jc w:val="both"/>
        <w:rPr>
          <w:sz w:val="30"/>
          <w:szCs w:val="30"/>
        </w:rPr>
      </w:pPr>
      <w:r>
        <w:rPr>
          <w:rFonts w:hint="eastAsia"/>
          <w:sz w:val="30"/>
          <w:szCs w:val="30"/>
        </w:rPr>
        <w:t>2.受到法律、行政处罚或学校纪律处分者。</w:t>
      </w:r>
    </w:p>
    <w:p>
      <w:pPr>
        <w:pStyle w:val="9"/>
        <w:spacing w:before="0" w:beforeAutospacing="0" w:after="0" w:afterAutospacing="0" w:line="500" w:lineRule="exact"/>
        <w:ind w:firstLine="600" w:firstLineChars="200"/>
        <w:jc w:val="both"/>
        <w:rPr>
          <w:sz w:val="30"/>
          <w:szCs w:val="30"/>
        </w:rPr>
      </w:pPr>
      <w:r>
        <w:rPr>
          <w:rFonts w:hint="eastAsia"/>
          <w:sz w:val="30"/>
          <w:szCs w:val="30"/>
        </w:rPr>
        <w:t>3.凡在申请推免生过程中弄虚作假的学生，一经查实，即取消推免生资格，并按学校相关管理规定进行追究处理。</w:t>
      </w:r>
    </w:p>
    <w:p>
      <w:pPr>
        <w:pStyle w:val="9"/>
        <w:spacing w:before="0" w:beforeAutospacing="0" w:after="0" w:afterAutospacing="0" w:line="500" w:lineRule="exact"/>
        <w:ind w:firstLine="600" w:firstLineChars="200"/>
        <w:jc w:val="both"/>
        <w:rPr>
          <w:sz w:val="30"/>
          <w:szCs w:val="30"/>
        </w:rPr>
      </w:pPr>
      <w:r>
        <w:rPr>
          <w:rFonts w:hint="eastAsia"/>
          <w:sz w:val="30"/>
          <w:szCs w:val="30"/>
        </w:rPr>
        <w:t>（三）推免工作接受纪检监察机构监督。推免领导小组和推免工作小组应将推免工作中学生的申诉，纳入校内申诉渠道，确保推免工作公开、公平、公正地进行。学生对推免工作提出申诉，应按《青岛理工大学学生校内申诉管理办法（修订）》（青理工校发〔2017〕8号）有关规定和流程进行。</w:t>
      </w:r>
    </w:p>
    <w:p>
      <w:pPr>
        <w:pStyle w:val="9"/>
        <w:spacing w:before="0" w:beforeAutospacing="0" w:after="0" w:afterAutospacing="0" w:line="500" w:lineRule="exact"/>
        <w:ind w:firstLine="600" w:firstLineChars="200"/>
        <w:jc w:val="both"/>
        <w:rPr>
          <w:sz w:val="30"/>
          <w:szCs w:val="30"/>
        </w:rPr>
      </w:pPr>
      <w:r>
        <w:rPr>
          <w:rFonts w:hint="eastAsia"/>
          <w:sz w:val="30"/>
          <w:szCs w:val="30"/>
        </w:rPr>
        <w:t>1.学校推免工作举报受理电话及邮箱：</w:t>
      </w:r>
    </w:p>
    <w:p>
      <w:pPr>
        <w:pStyle w:val="9"/>
        <w:spacing w:before="0" w:beforeAutospacing="0" w:after="0" w:afterAutospacing="0" w:line="500" w:lineRule="exact"/>
        <w:ind w:firstLine="600" w:firstLineChars="200"/>
        <w:jc w:val="both"/>
        <w:rPr>
          <w:rFonts w:hint="eastAsia" w:eastAsia="宋体"/>
          <w:sz w:val="30"/>
          <w:szCs w:val="30"/>
          <w:lang w:eastAsia="zh-CN"/>
        </w:rPr>
      </w:pPr>
      <w:r>
        <w:rPr>
          <w:rFonts w:hint="eastAsia"/>
          <w:sz w:val="30"/>
          <w:szCs w:val="30"/>
        </w:rPr>
        <w:t>纪委（监察专员办公室）申诉、监督电话：0532-85071099</w:t>
      </w:r>
      <w:r>
        <w:rPr>
          <w:rFonts w:hint="eastAsia"/>
          <w:sz w:val="30"/>
          <w:szCs w:val="30"/>
          <w:lang w:eastAsia="zh-CN"/>
        </w:rPr>
        <w:t>；</w:t>
      </w:r>
    </w:p>
    <w:p>
      <w:pPr>
        <w:pStyle w:val="9"/>
        <w:spacing w:before="0" w:beforeAutospacing="0" w:after="0" w:afterAutospacing="0" w:line="500" w:lineRule="exact"/>
        <w:ind w:firstLine="600" w:firstLineChars="200"/>
        <w:jc w:val="both"/>
        <w:rPr>
          <w:sz w:val="30"/>
          <w:szCs w:val="30"/>
        </w:rPr>
      </w:pPr>
      <w:r>
        <w:rPr>
          <w:rFonts w:hint="eastAsia"/>
          <w:sz w:val="30"/>
          <w:szCs w:val="30"/>
        </w:rPr>
        <w:t>Email:jiwei@qut.edu.cn。</w:t>
      </w:r>
    </w:p>
    <w:p>
      <w:pPr>
        <w:pStyle w:val="9"/>
        <w:spacing w:before="0" w:beforeAutospacing="0" w:after="0" w:afterAutospacing="0" w:line="500" w:lineRule="exact"/>
        <w:ind w:firstLine="600" w:firstLineChars="200"/>
        <w:jc w:val="both"/>
        <w:rPr>
          <w:rFonts w:hint="eastAsia" w:eastAsia="宋体"/>
          <w:sz w:val="30"/>
          <w:szCs w:val="30"/>
          <w:lang w:val="en-US" w:eastAsia="zh-CN"/>
        </w:rPr>
      </w:pPr>
      <w:r>
        <w:rPr>
          <w:sz w:val="30"/>
          <w:szCs w:val="30"/>
        </w:rPr>
        <w:t>教务处专业与课程建设科</w:t>
      </w:r>
      <w:r>
        <w:rPr>
          <w:rFonts w:hint="eastAsia"/>
          <w:sz w:val="30"/>
          <w:szCs w:val="30"/>
        </w:rPr>
        <w:t>，</w:t>
      </w:r>
      <w:r>
        <w:rPr>
          <w:sz w:val="30"/>
          <w:szCs w:val="30"/>
        </w:rPr>
        <w:t>电话：0532-68052229</w:t>
      </w:r>
      <w:r>
        <w:rPr>
          <w:rFonts w:hint="eastAsia"/>
          <w:sz w:val="30"/>
          <w:szCs w:val="30"/>
          <w:lang w:eastAsia="zh-CN"/>
        </w:rPr>
        <w:t>；</w:t>
      </w:r>
    </w:p>
    <w:p>
      <w:pPr>
        <w:pStyle w:val="9"/>
        <w:spacing w:before="0" w:beforeAutospacing="0" w:after="0" w:afterAutospacing="0" w:line="500" w:lineRule="exact"/>
        <w:ind w:firstLine="600" w:firstLineChars="200"/>
        <w:jc w:val="both"/>
        <w:rPr>
          <w:rFonts w:hint="eastAsia"/>
          <w:sz w:val="30"/>
          <w:szCs w:val="30"/>
        </w:rPr>
      </w:pPr>
      <w:r>
        <w:rPr>
          <w:sz w:val="30"/>
          <w:szCs w:val="30"/>
        </w:rPr>
        <w:t>Email:</w:t>
      </w:r>
      <w:r>
        <w:fldChar w:fldCharType="begin"/>
      </w:r>
      <w:r>
        <w:instrText xml:space="preserve"> HYPERLINK "mailto:jwch@qut.edu.cn" </w:instrText>
      </w:r>
      <w:r>
        <w:fldChar w:fldCharType="separate"/>
      </w:r>
      <w:r>
        <w:rPr>
          <w:sz w:val="30"/>
          <w:szCs w:val="30"/>
        </w:rPr>
        <w:t>jwch@qut.edu.cn</w:t>
      </w:r>
      <w:r>
        <w:rPr>
          <w:sz w:val="30"/>
          <w:szCs w:val="30"/>
        </w:rPr>
        <w:fldChar w:fldCharType="end"/>
      </w:r>
      <w:r>
        <w:rPr>
          <w:rFonts w:hint="eastAsia"/>
          <w:sz w:val="30"/>
          <w:szCs w:val="30"/>
        </w:rPr>
        <w:t>。</w:t>
      </w:r>
    </w:p>
    <w:p>
      <w:pPr>
        <w:pStyle w:val="9"/>
        <w:spacing w:before="0" w:beforeAutospacing="0" w:after="0" w:afterAutospacing="0" w:line="500" w:lineRule="exact"/>
        <w:ind w:firstLine="600" w:firstLineChars="200"/>
        <w:jc w:val="both"/>
        <w:rPr>
          <w:sz w:val="30"/>
          <w:szCs w:val="30"/>
        </w:rPr>
      </w:pPr>
      <w:r>
        <w:rPr>
          <w:rFonts w:hint="eastAsia"/>
          <w:sz w:val="30"/>
          <w:szCs w:val="30"/>
        </w:rPr>
        <w:t>2.学院推免工作举报受理电话及邮箱</w:t>
      </w:r>
    </w:p>
    <w:p>
      <w:pPr>
        <w:pStyle w:val="9"/>
        <w:spacing w:before="0" w:beforeAutospacing="0" w:after="0" w:afterAutospacing="0" w:line="500" w:lineRule="exact"/>
        <w:ind w:firstLine="600" w:firstLineChars="200"/>
        <w:jc w:val="both"/>
        <w:rPr>
          <w:rFonts w:hint="eastAsia"/>
          <w:sz w:val="30"/>
          <w:szCs w:val="30"/>
        </w:rPr>
      </w:pPr>
      <w:r>
        <w:rPr>
          <w:rFonts w:hint="eastAsia"/>
          <w:sz w:val="30"/>
          <w:szCs w:val="30"/>
        </w:rPr>
        <w:t>申诉、监督电话：0532-68052762</w:t>
      </w:r>
      <w:r>
        <w:rPr>
          <w:rFonts w:hint="eastAsia"/>
          <w:sz w:val="30"/>
          <w:szCs w:val="30"/>
          <w:lang w:eastAsia="zh-CN"/>
        </w:rPr>
        <w:t>、</w:t>
      </w:r>
      <w:r>
        <w:rPr>
          <w:rFonts w:hint="eastAsia"/>
          <w:sz w:val="30"/>
          <w:szCs w:val="30"/>
        </w:rPr>
        <w:t>0532-</w:t>
      </w:r>
      <w:r>
        <w:rPr>
          <w:sz w:val="30"/>
          <w:szCs w:val="30"/>
        </w:rPr>
        <w:t>86873955</w:t>
      </w:r>
      <w:r>
        <w:rPr>
          <w:rFonts w:hint="eastAsia"/>
          <w:sz w:val="30"/>
          <w:szCs w:val="30"/>
        </w:rPr>
        <w:t>；</w:t>
      </w:r>
    </w:p>
    <w:p>
      <w:pPr>
        <w:pStyle w:val="9"/>
        <w:spacing w:before="0" w:beforeAutospacing="0" w:after="0" w:afterAutospacing="0" w:line="500" w:lineRule="exact"/>
        <w:ind w:firstLine="600" w:firstLineChars="200"/>
        <w:jc w:val="both"/>
        <w:rPr>
          <w:sz w:val="30"/>
          <w:szCs w:val="30"/>
        </w:rPr>
      </w:pPr>
      <w:r>
        <w:rPr>
          <w:rFonts w:hint="eastAsia"/>
          <w:sz w:val="30"/>
          <w:szCs w:val="30"/>
        </w:rPr>
        <w:t>Email:</w:t>
      </w:r>
      <w:r>
        <w:rPr>
          <w:sz w:val="30"/>
          <w:szCs w:val="30"/>
        </w:rPr>
        <w:t>omae@qut.edu.cn</w:t>
      </w:r>
      <w:r>
        <w:rPr>
          <w:rFonts w:hint="eastAsia"/>
          <w:sz w:val="30"/>
          <w:szCs w:val="30"/>
        </w:rPr>
        <w:t>。</w:t>
      </w:r>
    </w:p>
    <w:p>
      <w:pPr>
        <w:pStyle w:val="9"/>
        <w:spacing w:before="0" w:beforeAutospacing="0" w:after="0" w:afterAutospacing="0" w:line="500" w:lineRule="exact"/>
        <w:ind w:firstLine="600" w:firstLineChars="200"/>
        <w:jc w:val="both"/>
        <w:rPr>
          <w:sz w:val="30"/>
          <w:szCs w:val="30"/>
        </w:rPr>
      </w:pPr>
      <w:r>
        <w:rPr>
          <w:rFonts w:hint="eastAsia"/>
          <w:sz w:val="30"/>
          <w:szCs w:val="30"/>
        </w:rPr>
        <w:t>（四）本实施细则由学院推免生遴选工作小组负责解释。</w:t>
      </w:r>
    </w:p>
    <w:p>
      <w:pPr>
        <w:pStyle w:val="9"/>
        <w:spacing w:before="0" w:beforeAutospacing="0" w:after="0" w:afterAutospacing="0" w:line="500" w:lineRule="exact"/>
        <w:jc w:val="both"/>
        <w:rPr>
          <w:sz w:val="30"/>
          <w:szCs w:val="30"/>
          <w:highlight w:val="yellow"/>
        </w:rPr>
      </w:pPr>
    </w:p>
    <w:p>
      <w:pPr>
        <w:pStyle w:val="9"/>
        <w:spacing w:before="0" w:beforeAutospacing="0" w:after="0" w:afterAutospacing="0" w:line="500" w:lineRule="exact"/>
        <w:jc w:val="right"/>
        <w:rPr>
          <w:sz w:val="30"/>
          <w:szCs w:val="30"/>
        </w:rPr>
      </w:pPr>
    </w:p>
    <w:p>
      <w:pPr>
        <w:pStyle w:val="9"/>
        <w:spacing w:before="0" w:beforeAutospacing="0" w:after="0" w:afterAutospacing="0" w:line="500" w:lineRule="exact"/>
        <w:jc w:val="right"/>
        <w:rPr>
          <w:sz w:val="30"/>
          <w:szCs w:val="30"/>
        </w:rPr>
      </w:pPr>
    </w:p>
    <w:p>
      <w:pPr>
        <w:pStyle w:val="9"/>
        <w:spacing w:before="0" w:beforeAutospacing="0" w:after="0" w:afterAutospacing="0" w:line="500" w:lineRule="exact"/>
        <w:jc w:val="right"/>
        <w:rPr>
          <w:sz w:val="30"/>
          <w:szCs w:val="30"/>
        </w:rPr>
      </w:pPr>
    </w:p>
    <w:p>
      <w:pPr>
        <w:pStyle w:val="9"/>
        <w:spacing w:before="0" w:beforeAutospacing="0" w:after="0" w:afterAutospacing="0" w:line="500" w:lineRule="exact"/>
        <w:jc w:val="right"/>
        <w:rPr>
          <w:sz w:val="30"/>
          <w:szCs w:val="30"/>
        </w:rPr>
      </w:pPr>
    </w:p>
    <w:p>
      <w:pPr>
        <w:pStyle w:val="9"/>
        <w:spacing w:before="0" w:beforeAutospacing="0" w:after="0" w:afterAutospacing="0" w:line="500" w:lineRule="exact"/>
        <w:jc w:val="right"/>
        <w:rPr>
          <w:sz w:val="30"/>
          <w:szCs w:val="30"/>
        </w:rPr>
      </w:pPr>
    </w:p>
    <w:p>
      <w:pPr>
        <w:pStyle w:val="9"/>
        <w:spacing w:before="0" w:beforeAutospacing="0" w:after="0" w:afterAutospacing="0" w:line="500" w:lineRule="exact"/>
        <w:jc w:val="right"/>
        <w:rPr>
          <w:sz w:val="30"/>
          <w:szCs w:val="30"/>
        </w:rPr>
      </w:pPr>
    </w:p>
    <w:p>
      <w:pPr>
        <w:pStyle w:val="9"/>
        <w:spacing w:before="0" w:beforeAutospacing="0" w:after="0" w:afterAutospacing="0" w:line="500" w:lineRule="exact"/>
        <w:jc w:val="right"/>
        <w:rPr>
          <w:sz w:val="30"/>
          <w:szCs w:val="30"/>
        </w:rPr>
      </w:pPr>
      <w:r>
        <w:rPr>
          <w:rFonts w:hint="eastAsia"/>
          <w:sz w:val="30"/>
          <w:szCs w:val="30"/>
        </w:rPr>
        <w:t>机械与汽车工程学院</w:t>
      </w:r>
    </w:p>
    <w:p>
      <w:pPr>
        <w:pStyle w:val="9"/>
        <w:spacing w:before="0" w:beforeAutospacing="0" w:after="0" w:afterAutospacing="0" w:line="500" w:lineRule="exact"/>
        <w:jc w:val="right"/>
        <w:rPr>
          <w:rFonts w:hint="eastAsia"/>
          <w:sz w:val="30"/>
          <w:szCs w:val="30"/>
        </w:rPr>
      </w:pPr>
      <w:r>
        <w:rPr>
          <w:rFonts w:hint="eastAsia"/>
          <w:sz w:val="30"/>
          <w:szCs w:val="30"/>
        </w:rPr>
        <w:t>2021年9月13日</w:t>
      </w: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9"/>
        <w:spacing w:before="0" w:beforeAutospacing="0" w:after="0" w:afterAutospacing="0" w:line="500" w:lineRule="exact"/>
        <w:rPr>
          <w:rFonts w:hint="eastAsia"/>
          <w:sz w:val="30"/>
          <w:szCs w:val="30"/>
        </w:rPr>
      </w:pP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sz w:val="30"/>
          <w:szCs w:val="30"/>
        </w:rPr>
      </w:pPr>
      <w:r>
        <w:rPr>
          <w:rFonts w:hint="eastAsia" w:asciiTheme="minorEastAsia" w:hAnsiTheme="minorEastAsia" w:eastAsiaTheme="minorEastAsia"/>
          <w:sz w:val="30"/>
          <w:szCs w:val="30"/>
        </w:rPr>
        <w:t>附件：</w:t>
      </w: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sz w:val="30"/>
          <w:szCs w:val="30"/>
        </w:rPr>
      </w:pPr>
    </w:p>
    <w:p>
      <w:pPr>
        <w:pStyle w:val="2"/>
        <w:keepNext w:val="0"/>
        <w:keepLines w:val="0"/>
        <w:pageBreakBefore w:val="0"/>
        <w:kinsoku/>
        <w:wordWrap/>
        <w:overflowPunct/>
        <w:topLinePunct w:val="0"/>
        <w:bidi w:val="0"/>
        <w:adjustRightInd/>
        <w:snapToGrid/>
        <w:spacing w:after="0" w:line="500" w:lineRule="exact"/>
        <w:ind w:left="0" w:right="0" w:hanging="2640"/>
        <w:jc w:val="left"/>
        <w:textAlignment w:val="auto"/>
        <w:rPr>
          <w:rFonts w:hint="eastAsia" w:ascii="宋体" w:hAnsi="宋体" w:eastAsia="宋体" w:cs="宋体"/>
          <w:b/>
          <w:bCs/>
        </w:rPr>
      </w:pPr>
      <w:r>
        <w:rPr>
          <w:rFonts w:hint="eastAsia" w:cs="宋体" w:asciiTheme="minorEastAsia" w:hAnsiTheme="minorEastAsia" w:eastAsiaTheme="minorEastAsia"/>
        </w:rPr>
        <w:t>青岛</w:t>
      </w:r>
    </w:p>
    <w:p>
      <w:pPr>
        <w:pStyle w:val="2"/>
        <w:keepNext w:val="0"/>
        <w:keepLines w:val="0"/>
        <w:pageBreakBefore w:val="0"/>
        <w:kinsoku/>
        <w:wordWrap/>
        <w:overflowPunct/>
        <w:topLinePunct w:val="0"/>
        <w:bidi w:val="0"/>
        <w:adjustRightInd/>
        <w:snapToGrid/>
        <w:spacing w:after="0" w:line="500" w:lineRule="exact"/>
        <w:ind w:left="0" w:leftChars="0" w:right="0" w:firstLine="0" w:firstLineChars="0"/>
        <w:jc w:val="center"/>
        <w:textAlignment w:val="auto"/>
        <w:rPr>
          <w:rFonts w:hint="eastAsia" w:ascii="宋体" w:hAnsi="宋体" w:eastAsia="宋体" w:cs="宋体"/>
          <w:b/>
          <w:bCs/>
        </w:rPr>
      </w:pPr>
      <w:r>
        <w:rPr>
          <w:rFonts w:hint="eastAsia" w:ascii="宋体" w:hAnsi="宋体" w:eastAsia="宋体" w:cs="宋体"/>
          <w:b/>
          <w:bCs/>
        </w:rPr>
        <w:t>青岛理工大学应届本科毕业生科技创新成果认定标准及办法</w:t>
      </w: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sz w:val="30"/>
          <w:szCs w:val="30"/>
        </w:rPr>
      </w:pP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根据上级有关推荐优秀应届本科毕业生免试攻读研究生（以下简称推免生）工作的相关文件精神，为进一步严格审核认定推免生科技创新成果，特制定本认定标准及办法。</w:t>
      </w: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一、认定标准</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（一）推免生科技创新成果仅限申请推免资格学生本科阶段在核心期刊上以独立作者或第一作者发表的与学业相关的科研 论文；作为主力成员参加与学业相关的国内权威科研竞赛（全国 赛）并获得三等奖以上奖励（国际赛事参照执行，但不得低于国 内赛事相关要求）。</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（二）申请推免资格学生与直系亲属或学历、职称、职务明显高于本人者合作的科研成果、竞赛奖项等仅作为参考，不纳入学生本人推免遴选</w:t>
      </w:r>
      <w:r>
        <w:rPr>
          <w:rFonts w:hint="eastAsia" w:asciiTheme="minorEastAsia" w:hAnsiTheme="minorEastAsia" w:eastAsiaTheme="minorEastAsia"/>
          <w:spacing w:val="-5"/>
          <w:sz w:val="30"/>
          <w:szCs w:val="30"/>
          <w:lang w:val="en-US" w:eastAsia="zh-CN"/>
        </w:rPr>
        <w:t>综合排名成绩</w:t>
      </w:r>
      <w:r>
        <w:rPr>
          <w:rFonts w:asciiTheme="minorEastAsia" w:hAnsiTheme="minorEastAsia" w:eastAsiaTheme="minorEastAsia"/>
          <w:spacing w:val="-5"/>
          <w:sz w:val="30"/>
          <w:szCs w:val="30"/>
        </w:rPr>
        <w:t>计算体系，同等条件下可优先考虑。</w:t>
      </w: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二、审核认定工作程序</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（一）由各学院（临沂校区）组织成立专家审核小组（专家审核小组成员应具有相关学科副教授以上职称，且不少于 5 人）</w:t>
      </w:r>
      <w:r>
        <w:rPr>
          <w:rFonts w:hint="eastAsia" w:asciiTheme="minorEastAsia" w:hAnsiTheme="minorEastAsia" w:eastAsiaTheme="minorEastAsia"/>
          <w:spacing w:val="-5"/>
          <w:sz w:val="30"/>
          <w:szCs w:val="30"/>
          <w:lang w:eastAsia="zh-CN"/>
        </w:rPr>
        <w:t>，</w:t>
      </w:r>
      <w:r>
        <w:rPr>
          <w:rFonts w:asciiTheme="minorEastAsia" w:hAnsiTheme="minorEastAsia" w:eastAsiaTheme="minorEastAsia"/>
          <w:spacing w:val="-5"/>
          <w:sz w:val="30"/>
          <w:szCs w:val="30"/>
        </w:rPr>
        <w:t>对申请推免资格学生的科技创新成果进行审核鉴定。</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（二）对学生提交的多项科技创新成果实行代表作评价，评价重点聚焦到创新质量和个人贡献。</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（三）各学院（临沂校区）负责组织对提交科技创新成果的学生进行公开答辩。</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（四）在专家审核小组审核答辩过程中</w:t>
      </w:r>
      <w:r>
        <w:rPr>
          <w:rFonts w:hint="eastAsia" w:asciiTheme="minorEastAsia" w:hAnsiTheme="minorEastAsia" w:eastAsiaTheme="minorEastAsia"/>
          <w:spacing w:val="-5"/>
          <w:sz w:val="30"/>
          <w:szCs w:val="30"/>
          <w:lang w:eastAsia="zh-CN"/>
        </w:rPr>
        <w:t>，</w:t>
      </w:r>
      <w:r>
        <w:rPr>
          <w:rFonts w:asciiTheme="minorEastAsia" w:hAnsiTheme="minorEastAsia" w:eastAsiaTheme="minorEastAsia"/>
          <w:spacing w:val="-5"/>
          <w:sz w:val="30"/>
          <w:szCs w:val="30"/>
        </w:rPr>
        <w:t>有三分之一及以上专家认定学生所提交的科技创新成果存在抄袭、造假、冒名及有 名无实等情况，取消其申请资格。</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（五）专家审核小组审核答辩全程须录音录像，答辩结果要公开公示。</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（六）通过审核鉴定或答辩的学生科技创新成果，须在各学院（临沂校区）网站上予以公示。未通过审核鉴定或答辩的，不 得纳入推免遴选综合</w:t>
      </w:r>
      <w:r>
        <w:rPr>
          <w:rFonts w:hint="eastAsia" w:asciiTheme="minorEastAsia" w:hAnsiTheme="minorEastAsia" w:eastAsiaTheme="minorEastAsia"/>
          <w:spacing w:val="-5"/>
          <w:sz w:val="30"/>
          <w:szCs w:val="30"/>
          <w:lang w:val="en-US" w:eastAsia="zh-CN"/>
        </w:rPr>
        <w:t>排名</w:t>
      </w:r>
      <w:r>
        <w:rPr>
          <w:rFonts w:asciiTheme="minorEastAsia" w:hAnsiTheme="minorEastAsia" w:eastAsiaTheme="minorEastAsia"/>
          <w:spacing w:val="-5"/>
          <w:sz w:val="30"/>
          <w:szCs w:val="30"/>
        </w:rPr>
        <w:t>成绩计算体系。</w:t>
      </w: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三、计算办法</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hint="eastAsia" w:asciiTheme="minorEastAsia" w:hAnsiTheme="minorEastAsia" w:eastAsiaTheme="minorEastAsia"/>
          <w:spacing w:val="-5"/>
          <w:sz w:val="30"/>
          <w:szCs w:val="30"/>
          <w:lang w:eastAsia="zh-CN"/>
        </w:rPr>
      </w:pPr>
      <w:r>
        <w:rPr>
          <w:rFonts w:asciiTheme="minorEastAsia" w:hAnsiTheme="minorEastAsia" w:eastAsiaTheme="minorEastAsia"/>
          <w:spacing w:val="-5"/>
          <w:sz w:val="30"/>
          <w:szCs w:val="30"/>
        </w:rPr>
        <w:t>（一）总成绩=科研论文成绩（</w:t>
      </w:r>
      <w:r>
        <w:rPr>
          <w:rFonts w:hint="eastAsia" w:asciiTheme="minorEastAsia" w:hAnsiTheme="minorEastAsia" w:eastAsiaTheme="minorEastAsia"/>
          <w:spacing w:val="-5"/>
          <w:sz w:val="30"/>
          <w:szCs w:val="30"/>
          <w:lang w:val="en-US" w:eastAsia="zh-CN"/>
        </w:rPr>
        <w:t>满分</w:t>
      </w:r>
      <w:r>
        <w:rPr>
          <w:rFonts w:asciiTheme="minorEastAsia" w:hAnsiTheme="minorEastAsia" w:eastAsiaTheme="minorEastAsia"/>
          <w:spacing w:val="-5"/>
          <w:sz w:val="30"/>
          <w:szCs w:val="30"/>
        </w:rPr>
        <w:t>100）*科研论文所占权重（30</w:t>
      </w:r>
      <w:r>
        <w:rPr>
          <w:rFonts w:hint="eastAsia" w:asciiTheme="minorEastAsia" w:hAnsiTheme="minorEastAsia" w:eastAsiaTheme="minorEastAsia"/>
          <w:spacing w:val="-5"/>
          <w:sz w:val="30"/>
          <w:szCs w:val="30"/>
          <w:lang w:val="en-US" w:eastAsia="zh-CN"/>
        </w:rPr>
        <w:t>%</w:t>
      </w:r>
      <w:r>
        <w:rPr>
          <w:rFonts w:asciiTheme="minorEastAsia" w:hAnsiTheme="minorEastAsia" w:eastAsiaTheme="minorEastAsia"/>
          <w:spacing w:val="-5"/>
          <w:sz w:val="30"/>
          <w:szCs w:val="30"/>
        </w:rPr>
        <w:t>）+科研竞赛成绩（</w:t>
      </w:r>
      <w:r>
        <w:rPr>
          <w:rFonts w:hint="eastAsia" w:asciiTheme="minorEastAsia" w:hAnsiTheme="minorEastAsia" w:eastAsiaTheme="minorEastAsia"/>
          <w:spacing w:val="-5"/>
          <w:sz w:val="30"/>
          <w:szCs w:val="30"/>
          <w:lang w:val="en-US" w:eastAsia="zh-CN"/>
        </w:rPr>
        <w:t>满分</w:t>
      </w:r>
      <w:r>
        <w:rPr>
          <w:rFonts w:asciiTheme="minorEastAsia" w:hAnsiTheme="minorEastAsia" w:eastAsiaTheme="minorEastAsia"/>
          <w:spacing w:val="-5"/>
          <w:sz w:val="30"/>
          <w:szCs w:val="30"/>
        </w:rPr>
        <w:t>100）*科研竞赛所占权重（50</w:t>
      </w:r>
      <w:r>
        <w:rPr>
          <w:rFonts w:hint="eastAsia" w:asciiTheme="minorEastAsia" w:hAnsiTheme="minorEastAsia" w:eastAsiaTheme="minorEastAsia"/>
          <w:spacing w:val="-5"/>
          <w:sz w:val="30"/>
          <w:szCs w:val="30"/>
          <w:lang w:val="en-US" w:eastAsia="zh-CN"/>
        </w:rPr>
        <w:t>%</w:t>
      </w:r>
      <w:r>
        <w:rPr>
          <w:rFonts w:asciiTheme="minorEastAsia" w:hAnsiTheme="minorEastAsia" w:eastAsiaTheme="minorEastAsia"/>
          <w:spacing w:val="-5"/>
          <w:sz w:val="30"/>
          <w:szCs w:val="30"/>
        </w:rPr>
        <w:t>）</w:t>
      </w:r>
      <w:r>
        <w:rPr>
          <w:rFonts w:hint="eastAsia" w:asciiTheme="minorEastAsia" w:hAnsiTheme="minorEastAsia" w:eastAsiaTheme="minorEastAsia"/>
          <w:spacing w:val="-5"/>
          <w:sz w:val="30"/>
          <w:szCs w:val="30"/>
          <w:lang w:eastAsia="zh-CN"/>
        </w:rPr>
        <w:t>。</w:t>
      </w:r>
    </w:p>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pacing w:val="-5"/>
          <w:sz w:val="30"/>
          <w:szCs w:val="30"/>
        </w:rPr>
      </w:pPr>
      <w:r>
        <w:rPr>
          <w:rFonts w:asciiTheme="minorEastAsia" w:hAnsiTheme="minorEastAsia" w:eastAsiaTheme="minorEastAsia"/>
          <w:spacing w:val="-5"/>
          <w:sz w:val="30"/>
          <w:szCs w:val="30"/>
        </w:rPr>
        <w:t>（二）科研论文成绩计算方法由各学院（临沂校区）根据实际情况制定。</w:t>
      </w:r>
    </w:p>
    <w:p>
      <w:pPr>
        <w:pStyle w:val="4"/>
        <w:keepNext w:val="0"/>
        <w:keepLines w:val="0"/>
        <w:pageBreakBefore w:val="0"/>
        <w:widowControl/>
        <w:kinsoku/>
        <w:wordWrap/>
        <w:overflowPunct/>
        <w:topLinePunct w:val="0"/>
        <w:autoSpaceDE/>
        <w:autoSpaceDN/>
        <w:bidi w:val="0"/>
        <w:adjustRightInd/>
        <w:snapToGrid/>
        <w:spacing w:after="0" w:line="500" w:lineRule="exact"/>
        <w:ind w:left="0" w:right="0" w:firstLine="600" w:firstLineChars="200"/>
        <w:textAlignment w:val="auto"/>
        <w:rPr>
          <w:rFonts w:hint="eastAsia" w:asciiTheme="minorEastAsia" w:hAnsiTheme="minorEastAsia" w:eastAsiaTheme="minorEastAsia"/>
          <w:sz w:val="30"/>
          <w:szCs w:val="30"/>
          <w:lang w:eastAsia="zh-CN"/>
        </w:rPr>
      </w:pPr>
      <w:r>
        <w:rPr>
          <w:rFonts w:asciiTheme="minorEastAsia" w:hAnsiTheme="minorEastAsia" w:eastAsiaTheme="minorEastAsia"/>
          <w:sz w:val="30"/>
          <w:szCs w:val="30"/>
        </w:rPr>
        <w:t>（三）科研竞赛成绩=类别分值（x）*位次系数（y）</w:t>
      </w:r>
      <w:r>
        <w:rPr>
          <w:rFonts w:hint="eastAsia" w:asciiTheme="minorEastAsia" w:hAnsiTheme="minorEastAsia" w:eastAsiaTheme="minorEastAsia"/>
          <w:sz w:val="30"/>
          <w:szCs w:val="30"/>
          <w:lang w:eastAsia="zh-CN"/>
        </w:rPr>
        <w:t>。</w:t>
      </w:r>
    </w:p>
    <w:p>
      <w:pPr>
        <w:pStyle w:val="4"/>
        <w:keepNext w:val="0"/>
        <w:keepLines w:val="0"/>
        <w:pageBreakBefore w:val="0"/>
        <w:widowControl/>
        <w:kinsoku/>
        <w:wordWrap/>
        <w:overflowPunct/>
        <w:topLinePunct w:val="0"/>
        <w:autoSpaceDE/>
        <w:autoSpaceDN/>
        <w:bidi w:val="0"/>
        <w:adjustRightInd/>
        <w:snapToGrid/>
        <w:spacing w:after="0" w:line="500" w:lineRule="exact"/>
        <w:ind w:left="0" w:right="0" w:firstLine="600" w:firstLineChars="200"/>
        <w:textAlignment w:val="auto"/>
        <w:rPr>
          <w:rFonts w:hint="eastAsia" w:asciiTheme="minorEastAsia" w:hAnsiTheme="minorEastAsia" w:eastAsiaTheme="minorEastAsia"/>
          <w:sz w:val="30"/>
          <w:szCs w:val="30"/>
          <w:lang w:eastAsia="zh-CN"/>
        </w:rPr>
      </w:pPr>
      <w:r>
        <w:rPr>
          <w:rFonts w:asciiTheme="minorEastAsia" w:hAnsiTheme="minorEastAsia" w:eastAsiaTheme="minorEastAsia"/>
          <w:sz w:val="30"/>
          <w:szCs w:val="30"/>
        </w:rPr>
        <w:t xml:space="preserve"> 1.科研竞赛类别分值</w:t>
      </w:r>
      <w:r>
        <w:rPr>
          <w:rFonts w:hint="eastAsia" w:asciiTheme="minorEastAsia" w:hAnsiTheme="minorEastAsia" w:eastAsiaTheme="minorEastAsia"/>
          <w:sz w:val="30"/>
          <w:szCs w:val="30"/>
          <w:lang w:eastAsia="zh-CN"/>
        </w:rPr>
        <w:t>。</w:t>
      </w:r>
    </w:p>
    <w:p>
      <w:pPr>
        <w:pStyle w:val="4"/>
        <w:keepNext w:val="0"/>
        <w:keepLines w:val="0"/>
        <w:pageBreakBefore w:val="0"/>
        <w:kinsoku/>
        <w:wordWrap/>
        <w:overflowPunct/>
        <w:topLinePunct w:val="0"/>
        <w:bidi w:val="0"/>
        <w:adjustRightInd/>
        <w:snapToGrid/>
        <w:spacing w:after="0" w:line="500" w:lineRule="exact"/>
        <w:ind w:left="0" w:right="0"/>
        <w:jc w:val="center"/>
        <w:textAlignment w:val="auto"/>
        <w:rPr>
          <w:rFonts w:asciiTheme="minorEastAsia" w:hAnsiTheme="minorEastAsia" w:eastAsiaTheme="minorEastAsia"/>
          <w:sz w:val="30"/>
          <w:szCs w:val="30"/>
        </w:rPr>
      </w:pPr>
      <w:r>
        <w:rPr>
          <w:rFonts w:asciiTheme="minorEastAsia" w:hAnsiTheme="minorEastAsia" w:eastAsiaTheme="minorEastAsia"/>
          <w:sz w:val="30"/>
          <w:szCs w:val="30"/>
        </w:rPr>
        <w:t>科研竞赛类别分值（x）赋分表</w:t>
      </w:r>
    </w:p>
    <w:tbl>
      <w:tblPr>
        <w:tblStyle w:val="10"/>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637"/>
        <w:gridCol w:w="3061"/>
        <w:gridCol w:w="33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0" w:hRule="atLeast"/>
          <w:jc w:val="center"/>
        </w:trPr>
        <w:tc>
          <w:tcPr>
            <w:tcW w:w="1452"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获奖等级</w:t>
            </w:r>
          </w:p>
        </w:tc>
        <w:tc>
          <w:tcPr>
            <w:tcW w:w="1685"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A 类竞赛获奖赋分</w:t>
            </w:r>
          </w:p>
        </w:tc>
        <w:tc>
          <w:tcPr>
            <w:tcW w:w="1862"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B 类竞赛获奖赋分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1452"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一等奖</w:t>
            </w:r>
          </w:p>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hint="eastAsia" w:asciiTheme="minorEastAsia" w:hAnsiTheme="minorEastAsia" w:eastAsiaTheme="minorEastAsia"/>
                <w:sz w:val="28"/>
                <w:szCs w:val="28"/>
                <w:lang w:eastAsia="zh-CN"/>
              </w:rPr>
            </w:pPr>
            <w:r>
              <w:rPr>
                <w:rFonts w:asciiTheme="minorEastAsia" w:hAnsiTheme="minorEastAsia" w:eastAsiaTheme="minorEastAsia"/>
                <w:sz w:val="28"/>
                <w:szCs w:val="28"/>
              </w:rPr>
              <w:t>（特等奖、金奖</w:t>
            </w:r>
            <w:r>
              <w:rPr>
                <w:rFonts w:hint="eastAsia" w:asciiTheme="minorEastAsia" w:hAnsiTheme="minorEastAsia" w:eastAsiaTheme="minorEastAsia"/>
                <w:sz w:val="28"/>
                <w:szCs w:val="28"/>
                <w:lang w:eastAsia="zh-CN"/>
              </w:rPr>
              <w:t>）</w:t>
            </w:r>
          </w:p>
        </w:tc>
        <w:tc>
          <w:tcPr>
            <w:tcW w:w="1685" w:type="pct"/>
            <w:vAlign w:val="center"/>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100 分</w:t>
            </w:r>
          </w:p>
        </w:tc>
        <w:tc>
          <w:tcPr>
            <w:tcW w:w="1862" w:type="pct"/>
            <w:vAlign w:val="center"/>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50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9" w:hRule="atLeast"/>
          <w:jc w:val="center"/>
        </w:trPr>
        <w:tc>
          <w:tcPr>
            <w:tcW w:w="1452"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二等奖</w:t>
            </w:r>
          </w:p>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（银奖）</w:t>
            </w:r>
          </w:p>
        </w:tc>
        <w:tc>
          <w:tcPr>
            <w:tcW w:w="1685" w:type="pct"/>
            <w:vAlign w:val="center"/>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80 分</w:t>
            </w:r>
          </w:p>
        </w:tc>
        <w:tc>
          <w:tcPr>
            <w:tcW w:w="1862" w:type="pct"/>
            <w:vAlign w:val="center"/>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40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79" w:hRule="atLeast"/>
          <w:jc w:val="center"/>
        </w:trPr>
        <w:tc>
          <w:tcPr>
            <w:tcW w:w="1452"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三等奖</w:t>
            </w:r>
          </w:p>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（铜奖）</w:t>
            </w:r>
          </w:p>
        </w:tc>
        <w:tc>
          <w:tcPr>
            <w:tcW w:w="1685" w:type="pct"/>
            <w:vAlign w:val="center"/>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40 分</w:t>
            </w:r>
          </w:p>
        </w:tc>
        <w:tc>
          <w:tcPr>
            <w:tcW w:w="1862" w:type="pct"/>
            <w:vAlign w:val="center"/>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20 分</w:t>
            </w:r>
          </w:p>
        </w:tc>
      </w:tr>
    </w:tbl>
    <w:p>
      <w:pPr>
        <w:pStyle w:val="4"/>
        <w:keepNext w:val="0"/>
        <w:keepLines w:val="0"/>
        <w:pageBreakBefore w:val="0"/>
        <w:kinsoku/>
        <w:wordWrap/>
        <w:overflowPunct/>
        <w:topLinePunct w:val="0"/>
        <w:bidi w:val="0"/>
        <w:adjustRightInd/>
        <w:snapToGrid/>
        <w:spacing w:after="0" w:line="500" w:lineRule="exact"/>
        <w:ind w:left="0" w:right="0" w:firstLine="638"/>
        <w:jc w:val="both"/>
        <w:textAlignment w:val="auto"/>
        <w:rPr>
          <w:rFonts w:asciiTheme="minorEastAsia" w:hAnsiTheme="minorEastAsia" w:eastAsiaTheme="minorEastAsia"/>
          <w:sz w:val="30"/>
          <w:szCs w:val="30"/>
        </w:rPr>
      </w:pPr>
      <w:r>
        <w:rPr>
          <w:rFonts w:asciiTheme="minorEastAsia" w:hAnsiTheme="minorEastAsia" w:eastAsiaTheme="minorEastAsia"/>
          <w:sz w:val="30"/>
          <w:szCs w:val="30"/>
        </w:rPr>
        <w:t>（注</w:t>
      </w:r>
      <w:r>
        <w:rPr>
          <w:rFonts w:hint="eastAsia" w:asciiTheme="minorEastAsia" w:hAnsiTheme="minorEastAsia" w:eastAsiaTheme="minorEastAsia"/>
          <w:sz w:val="30"/>
          <w:szCs w:val="30"/>
          <w:lang w:eastAsia="zh-CN"/>
        </w:rPr>
        <w:t>：</w:t>
      </w:r>
      <w:r>
        <w:rPr>
          <w:rFonts w:asciiTheme="minorEastAsia" w:hAnsiTheme="minorEastAsia" w:eastAsiaTheme="minorEastAsia"/>
          <w:sz w:val="30"/>
          <w:szCs w:val="30"/>
        </w:rPr>
        <w:t xml:space="preserve">中国“互联网+”大学生创新创业大赛、“挑战杯” </w:t>
      </w:r>
      <w:r>
        <w:rPr>
          <w:rFonts w:asciiTheme="minorEastAsia" w:hAnsiTheme="minorEastAsia" w:eastAsiaTheme="minorEastAsia"/>
          <w:spacing w:val="-7"/>
          <w:sz w:val="30"/>
          <w:szCs w:val="30"/>
        </w:rPr>
        <w:t>全国大学生课外学术科技作品竞赛、“挑战杯”全国大学生创业</w:t>
      </w:r>
      <w:r>
        <w:rPr>
          <w:rFonts w:asciiTheme="minorEastAsia" w:hAnsiTheme="minorEastAsia" w:eastAsiaTheme="minorEastAsia"/>
          <w:spacing w:val="-20"/>
          <w:sz w:val="30"/>
          <w:szCs w:val="30"/>
        </w:rPr>
        <w:t>计划竞赛</w:t>
      </w:r>
      <w:r>
        <w:rPr>
          <w:rFonts w:asciiTheme="minorEastAsia" w:hAnsiTheme="minorEastAsia" w:eastAsiaTheme="minorEastAsia"/>
          <w:sz w:val="30"/>
          <w:szCs w:val="30"/>
        </w:rPr>
        <w:t>（创青春全国大学生创业计划竞赛</w:t>
      </w:r>
      <w:r>
        <w:rPr>
          <w:rFonts w:asciiTheme="minorEastAsia" w:hAnsiTheme="minorEastAsia" w:eastAsiaTheme="minorEastAsia"/>
          <w:spacing w:val="-58"/>
          <w:sz w:val="30"/>
          <w:szCs w:val="30"/>
        </w:rPr>
        <w:t>）</w:t>
      </w:r>
      <w:r>
        <w:rPr>
          <w:rFonts w:asciiTheme="minorEastAsia" w:hAnsiTheme="minorEastAsia" w:eastAsiaTheme="minorEastAsia"/>
          <w:sz w:val="30"/>
          <w:szCs w:val="30"/>
        </w:rPr>
        <w:t>三大赛事确定为科</w:t>
      </w:r>
      <w:r>
        <w:rPr>
          <w:rFonts w:asciiTheme="minorEastAsia" w:hAnsiTheme="minorEastAsia" w:eastAsiaTheme="minorEastAsia"/>
          <w:spacing w:val="26"/>
          <w:sz w:val="30"/>
          <w:szCs w:val="30"/>
        </w:rPr>
        <w:t>研竞赛</w:t>
      </w:r>
      <w:r>
        <w:rPr>
          <w:rFonts w:asciiTheme="minorEastAsia" w:hAnsiTheme="minorEastAsia" w:eastAsiaTheme="minorEastAsia"/>
          <w:sz w:val="30"/>
          <w:szCs w:val="30"/>
        </w:rPr>
        <w:t>A</w:t>
      </w:r>
      <w:r>
        <w:rPr>
          <w:rFonts w:asciiTheme="minorEastAsia" w:hAnsiTheme="minorEastAsia" w:eastAsiaTheme="minorEastAsia"/>
          <w:spacing w:val="-15"/>
          <w:sz w:val="30"/>
          <w:szCs w:val="30"/>
        </w:rPr>
        <w:t xml:space="preserve"> 类赛事，除三大赛事之外的中国高教学会公布赛事为 </w:t>
      </w:r>
      <w:r>
        <w:rPr>
          <w:rFonts w:asciiTheme="minorEastAsia" w:hAnsiTheme="minorEastAsia" w:eastAsiaTheme="minorEastAsia"/>
          <w:sz w:val="30"/>
          <w:szCs w:val="30"/>
        </w:rPr>
        <w:t xml:space="preserve">B </w:t>
      </w:r>
      <w:r>
        <w:rPr>
          <w:rFonts w:asciiTheme="minorEastAsia" w:hAnsiTheme="minorEastAsia" w:eastAsiaTheme="minorEastAsia"/>
          <w:spacing w:val="17"/>
          <w:sz w:val="30"/>
          <w:szCs w:val="30"/>
        </w:rPr>
        <w:t>类赛事（</w:t>
      </w:r>
      <w:r>
        <w:rPr>
          <w:rFonts w:asciiTheme="minorEastAsia" w:hAnsiTheme="minorEastAsia" w:eastAsiaTheme="minorEastAsia"/>
          <w:spacing w:val="-20"/>
          <w:sz w:val="30"/>
          <w:szCs w:val="30"/>
        </w:rPr>
        <w:t xml:space="preserve">包括 </w:t>
      </w:r>
      <w:r>
        <w:rPr>
          <w:rFonts w:asciiTheme="minorEastAsia" w:hAnsiTheme="minorEastAsia" w:eastAsiaTheme="minorEastAsia"/>
          <w:sz w:val="30"/>
          <w:szCs w:val="30"/>
        </w:rPr>
        <w:t>ACM-ICPC</w:t>
      </w:r>
      <w:r>
        <w:rPr>
          <w:rFonts w:asciiTheme="minorEastAsia" w:hAnsiTheme="minorEastAsia" w:eastAsiaTheme="minorEastAsia"/>
          <w:spacing w:val="5"/>
          <w:sz w:val="30"/>
          <w:szCs w:val="30"/>
        </w:rPr>
        <w:t xml:space="preserve"> 国际大学生程序设计竞赛全球总决赛</w:t>
      </w:r>
      <w:r>
        <w:rPr>
          <w:rFonts w:asciiTheme="minorEastAsia" w:hAnsiTheme="minorEastAsia" w:eastAsiaTheme="minorEastAsia"/>
          <w:sz w:val="30"/>
          <w:szCs w:val="30"/>
        </w:rPr>
        <w:t>等）。</w:t>
      </w:r>
    </w:p>
    <w:p>
      <w:pPr>
        <w:pStyle w:val="4"/>
        <w:keepNext w:val="0"/>
        <w:keepLines w:val="0"/>
        <w:pageBreakBefore w:val="0"/>
        <w:kinsoku/>
        <w:wordWrap/>
        <w:overflowPunct/>
        <w:topLinePunct w:val="0"/>
        <w:bidi w:val="0"/>
        <w:adjustRightInd/>
        <w:snapToGrid/>
        <w:spacing w:after="0" w:line="500" w:lineRule="exact"/>
        <w:ind w:left="0" w:right="0" w:firstLine="645"/>
        <w:textAlignment w:val="auto"/>
        <w:rPr>
          <w:rFonts w:asciiTheme="minorEastAsia" w:hAnsiTheme="minorEastAsia" w:eastAsiaTheme="minorEastAsia"/>
          <w:sz w:val="30"/>
          <w:szCs w:val="30"/>
        </w:rPr>
      </w:pPr>
      <w:r>
        <w:rPr>
          <w:rFonts w:asciiTheme="minorEastAsia" w:hAnsiTheme="minorEastAsia" w:eastAsiaTheme="minorEastAsia"/>
          <w:spacing w:val="-10"/>
          <w:sz w:val="30"/>
          <w:szCs w:val="30"/>
        </w:rPr>
        <w:t>科研竞赛的纳入范围及分类，依据学生参赛当年中国高教学会公布的赛事为准。</w:t>
      </w:r>
    </w:p>
    <w:p>
      <w:pPr>
        <w:pStyle w:val="4"/>
        <w:keepNext w:val="0"/>
        <w:keepLines w:val="0"/>
        <w:pageBreakBefore w:val="0"/>
        <w:kinsoku/>
        <w:wordWrap/>
        <w:overflowPunct/>
        <w:topLinePunct w:val="0"/>
        <w:bidi w:val="0"/>
        <w:adjustRightInd/>
        <w:snapToGrid/>
        <w:spacing w:after="0" w:line="500" w:lineRule="exact"/>
        <w:ind w:left="0" w:right="0" w:firstLine="600" w:firstLineChars="200"/>
        <w:textAlignment w:val="auto"/>
        <w:rPr>
          <w:rFonts w:hint="eastAsia" w:asciiTheme="minorEastAsia" w:hAnsiTheme="minorEastAsia" w:eastAsiaTheme="minorEastAsia"/>
          <w:sz w:val="30"/>
          <w:szCs w:val="30"/>
          <w:lang w:eastAsia="zh-CN"/>
        </w:rPr>
      </w:pPr>
      <w:r>
        <w:rPr>
          <w:rFonts w:asciiTheme="minorEastAsia" w:hAnsiTheme="minorEastAsia" w:eastAsiaTheme="minorEastAsia"/>
          <w:sz w:val="30"/>
          <w:szCs w:val="30"/>
        </w:rPr>
        <w:t>2.科研竞赛位次系数（y）</w:t>
      </w:r>
      <w:r>
        <w:rPr>
          <w:rFonts w:hint="eastAsia" w:asciiTheme="minorEastAsia" w:hAnsiTheme="minorEastAsia" w:eastAsiaTheme="minorEastAsia"/>
          <w:sz w:val="30"/>
          <w:szCs w:val="30"/>
          <w:lang w:eastAsia="zh-CN"/>
        </w:rPr>
        <w:t>。</w:t>
      </w:r>
    </w:p>
    <w:p>
      <w:pPr>
        <w:pStyle w:val="15"/>
        <w:keepNext w:val="0"/>
        <w:keepLines w:val="0"/>
        <w:pageBreakBefore w:val="0"/>
        <w:widowControl w:val="0"/>
        <w:numPr>
          <w:ilvl w:val="0"/>
          <w:numId w:val="0"/>
        </w:numPr>
        <w:tabs>
          <w:tab w:val="left" w:pos="1668"/>
        </w:tabs>
        <w:kinsoku/>
        <w:wordWrap/>
        <w:overflowPunct/>
        <w:topLinePunct w:val="0"/>
        <w:autoSpaceDE w:val="0"/>
        <w:autoSpaceDN w:val="0"/>
        <w:bidi w:val="0"/>
        <w:adjustRightInd/>
        <w:snapToGrid/>
        <w:spacing w:after="0" w:line="500" w:lineRule="exact"/>
        <w:ind w:left="0" w:leftChars="0" w:right="0" w:rightChars="0" w:firstLine="600" w:firstLineChars="200"/>
        <w:textAlignment w:val="auto"/>
        <w:rPr>
          <w:rFonts w:asciiTheme="minorEastAsia" w:hAnsiTheme="minorEastAsia" w:eastAsiaTheme="minorEastAsia"/>
          <w:sz w:val="30"/>
          <w:szCs w:val="30"/>
        </w:rPr>
      </w:pPr>
      <w:r>
        <w:rPr>
          <w:rFonts w:hint="eastAsia" w:asciiTheme="minorEastAsia" w:hAnsiTheme="minorEastAsia" w:eastAsiaTheme="minorEastAsia"/>
          <w:position w:val="1"/>
          <w:sz w:val="30"/>
          <w:szCs w:val="30"/>
          <w:lang w:eastAsia="zh-CN"/>
        </w:rPr>
        <w:t>（</w:t>
      </w:r>
      <w:r>
        <w:rPr>
          <w:rFonts w:hint="eastAsia" w:asciiTheme="minorEastAsia" w:hAnsiTheme="minorEastAsia" w:eastAsiaTheme="minorEastAsia"/>
          <w:position w:val="1"/>
          <w:sz w:val="30"/>
          <w:szCs w:val="30"/>
          <w:lang w:val="en-US" w:eastAsia="zh-CN"/>
        </w:rPr>
        <w:t>1</w:t>
      </w:r>
      <w:r>
        <w:rPr>
          <w:rFonts w:hint="eastAsia" w:asciiTheme="minorEastAsia" w:hAnsiTheme="minorEastAsia" w:eastAsiaTheme="minorEastAsia"/>
          <w:position w:val="1"/>
          <w:sz w:val="30"/>
          <w:szCs w:val="30"/>
          <w:lang w:eastAsia="zh-CN"/>
        </w:rPr>
        <w:t>）</w:t>
      </w:r>
      <w:r>
        <w:rPr>
          <w:rFonts w:asciiTheme="minorEastAsia" w:hAnsiTheme="minorEastAsia" w:eastAsiaTheme="minorEastAsia"/>
          <w:position w:val="1"/>
          <w:sz w:val="30"/>
          <w:szCs w:val="30"/>
        </w:rPr>
        <w:t>科研竞赛独立完成人位次系数为</w:t>
      </w:r>
      <w:r>
        <w:rPr>
          <w:rFonts w:asciiTheme="minorEastAsia" w:hAnsiTheme="minorEastAsia" w:eastAsiaTheme="minorEastAsia"/>
          <w:spacing w:val="-84"/>
          <w:position w:val="1"/>
          <w:sz w:val="30"/>
          <w:szCs w:val="30"/>
        </w:rPr>
        <w:t xml:space="preserve"> </w:t>
      </w:r>
      <w:r>
        <w:rPr>
          <w:rFonts w:asciiTheme="minorEastAsia" w:hAnsiTheme="minorEastAsia" w:eastAsiaTheme="minorEastAsia"/>
          <w:spacing w:val="3"/>
          <w:position w:val="1"/>
          <w:sz w:val="30"/>
          <w:szCs w:val="30"/>
        </w:rPr>
        <w:t>100</w:t>
      </w:r>
      <w:r>
        <w:rPr>
          <w:rFonts w:hint="eastAsia" w:asciiTheme="minorEastAsia" w:hAnsiTheme="minorEastAsia" w:eastAsiaTheme="minorEastAsia"/>
          <w:spacing w:val="3"/>
          <w:position w:val="1"/>
          <w:sz w:val="30"/>
          <w:szCs w:val="30"/>
          <w:lang w:val="en-US" w:eastAsia="zh-CN"/>
        </w:rPr>
        <w:t>%</w:t>
      </w:r>
      <w:r>
        <w:rPr>
          <w:rFonts w:asciiTheme="minorEastAsia" w:hAnsiTheme="minorEastAsia" w:eastAsiaTheme="minorEastAsia"/>
          <w:position w:val="1"/>
          <w:sz w:val="30"/>
          <w:szCs w:val="30"/>
        </w:rPr>
        <w:t>。</w:t>
      </w:r>
    </w:p>
    <w:p>
      <w:pPr>
        <w:pStyle w:val="15"/>
        <w:keepNext w:val="0"/>
        <w:keepLines w:val="0"/>
        <w:pageBreakBefore w:val="0"/>
        <w:widowControl w:val="0"/>
        <w:numPr>
          <w:ilvl w:val="0"/>
          <w:numId w:val="0"/>
        </w:numPr>
        <w:tabs>
          <w:tab w:val="left" w:pos="1668"/>
        </w:tabs>
        <w:kinsoku/>
        <w:wordWrap/>
        <w:overflowPunct/>
        <w:topLinePunct w:val="0"/>
        <w:autoSpaceDE w:val="0"/>
        <w:autoSpaceDN w:val="0"/>
        <w:bidi w:val="0"/>
        <w:adjustRightInd/>
        <w:snapToGrid/>
        <w:spacing w:after="0" w:line="500" w:lineRule="exact"/>
        <w:ind w:left="0" w:leftChars="0" w:right="0" w:rightChars="0" w:firstLine="572" w:firstLineChars="200"/>
        <w:textAlignment w:val="auto"/>
        <w:rPr>
          <w:rFonts w:hint="eastAsia" w:asciiTheme="minorEastAsia" w:hAnsiTheme="minorEastAsia" w:eastAsiaTheme="minorEastAsia"/>
          <w:sz w:val="30"/>
          <w:szCs w:val="30"/>
          <w:lang w:eastAsia="zh-CN"/>
        </w:rPr>
      </w:pPr>
      <w:r>
        <w:rPr>
          <w:rFonts w:hint="eastAsia" w:asciiTheme="minorEastAsia" w:hAnsiTheme="minorEastAsia" w:eastAsiaTheme="minorEastAsia"/>
          <w:spacing w:val="-7"/>
          <w:sz w:val="30"/>
          <w:szCs w:val="30"/>
          <w:lang w:eastAsia="zh-CN"/>
        </w:rPr>
        <w:t>（</w:t>
      </w:r>
      <w:r>
        <w:rPr>
          <w:rFonts w:hint="eastAsia" w:asciiTheme="minorEastAsia" w:hAnsiTheme="minorEastAsia" w:eastAsiaTheme="minorEastAsia"/>
          <w:spacing w:val="-7"/>
          <w:sz w:val="30"/>
          <w:szCs w:val="30"/>
          <w:lang w:val="en-US" w:eastAsia="zh-CN"/>
        </w:rPr>
        <w:t>2</w:t>
      </w:r>
      <w:r>
        <w:rPr>
          <w:rFonts w:hint="eastAsia" w:asciiTheme="minorEastAsia" w:hAnsiTheme="minorEastAsia" w:eastAsiaTheme="minorEastAsia"/>
          <w:spacing w:val="-7"/>
          <w:sz w:val="30"/>
          <w:szCs w:val="30"/>
          <w:lang w:eastAsia="zh-CN"/>
        </w:rPr>
        <w:t>）</w:t>
      </w:r>
      <w:r>
        <w:rPr>
          <w:rFonts w:asciiTheme="minorEastAsia" w:hAnsiTheme="minorEastAsia" w:eastAsiaTheme="minorEastAsia"/>
          <w:spacing w:val="-7"/>
          <w:sz w:val="30"/>
          <w:szCs w:val="30"/>
        </w:rPr>
        <w:t xml:space="preserve">科研竞赛获奖成员人数为 </w:t>
      </w:r>
      <w:r>
        <w:rPr>
          <w:rFonts w:asciiTheme="minorEastAsia" w:hAnsiTheme="minorEastAsia" w:eastAsiaTheme="minorEastAsia"/>
          <w:sz w:val="30"/>
          <w:szCs w:val="30"/>
        </w:rPr>
        <w:t>2</w:t>
      </w:r>
      <w:r>
        <w:rPr>
          <w:rFonts w:asciiTheme="minorEastAsia" w:hAnsiTheme="minorEastAsia" w:eastAsiaTheme="minorEastAsia"/>
          <w:spacing w:val="-13"/>
          <w:sz w:val="30"/>
          <w:szCs w:val="30"/>
        </w:rPr>
        <w:t xml:space="preserve"> 位的位次系数</w:t>
      </w:r>
      <w:r>
        <w:rPr>
          <w:rFonts w:hint="eastAsia" w:asciiTheme="minorEastAsia" w:hAnsiTheme="minorEastAsia" w:eastAsiaTheme="minorEastAsia"/>
          <w:spacing w:val="-13"/>
          <w:sz w:val="30"/>
          <w:szCs w:val="30"/>
          <w:lang w:eastAsia="zh-CN"/>
        </w:rPr>
        <w:t>。</w:t>
      </w:r>
    </w:p>
    <w:tbl>
      <w:tblPr>
        <w:tblStyle w:val="1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992"/>
        <w:gridCol w:w="3058"/>
        <w:gridCol w:w="4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097"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sz w:val="28"/>
                <w:szCs w:val="28"/>
              </w:rPr>
              <w:t>序号</w:t>
            </w:r>
          </w:p>
        </w:tc>
        <w:tc>
          <w:tcPr>
            <w:tcW w:w="1684"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sz w:val="28"/>
                <w:szCs w:val="28"/>
              </w:rPr>
              <w:t>位次</w:t>
            </w:r>
          </w:p>
        </w:tc>
        <w:tc>
          <w:tcPr>
            <w:tcW w:w="2218"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sz w:val="28"/>
                <w:szCs w:val="28"/>
              </w:rPr>
              <w:t>位次系数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trPr>
        <w:tc>
          <w:tcPr>
            <w:tcW w:w="1097"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1</w:t>
            </w:r>
          </w:p>
        </w:tc>
        <w:tc>
          <w:tcPr>
            <w:tcW w:w="1684"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1</w:t>
            </w:r>
          </w:p>
        </w:tc>
        <w:tc>
          <w:tcPr>
            <w:tcW w:w="2218"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hint="eastAsia" w:asciiTheme="minorEastAsia" w:hAnsiTheme="minorEastAsia" w:eastAsiaTheme="minorEastAsia"/>
                <w:sz w:val="28"/>
                <w:szCs w:val="28"/>
                <w:lang w:val="en-US" w:eastAsia="zh-CN"/>
              </w:rPr>
            </w:pPr>
            <w:r>
              <w:rPr>
                <w:rFonts w:asciiTheme="minorEastAsia" w:hAnsiTheme="minorEastAsia" w:eastAsiaTheme="minorEastAsia"/>
                <w:spacing w:val="6"/>
                <w:w w:val="95"/>
                <w:position w:val="1"/>
                <w:sz w:val="28"/>
                <w:szCs w:val="28"/>
              </w:rPr>
              <w:t>60</w:t>
            </w:r>
            <w:r>
              <w:rPr>
                <w:rFonts w:hint="eastAsia" w:asciiTheme="minorEastAsia" w:hAnsiTheme="minorEastAsia" w:eastAsiaTheme="minorEastAsia"/>
                <w:spacing w:val="6"/>
                <w:w w:val="95"/>
                <w:position w:val="1"/>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trPr>
        <w:tc>
          <w:tcPr>
            <w:tcW w:w="1097"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2</w:t>
            </w:r>
          </w:p>
        </w:tc>
        <w:tc>
          <w:tcPr>
            <w:tcW w:w="1684"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2</w:t>
            </w:r>
          </w:p>
        </w:tc>
        <w:tc>
          <w:tcPr>
            <w:tcW w:w="2218"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hint="eastAsia" w:asciiTheme="minorEastAsia" w:hAnsiTheme="minorEastAsia" w:eastAsiaTheme="minorEastAsia"/>
                <w:sz w:val="28"/>
                <w:szCs w:val="28"/>
                <w:lang w:val="en-US" w:eastAsia="zh-CN"/>
              </w:rPr>
            </w:pPr>
            <w:r>
              <w:rPr>
                <w:rFonts w:asciiTheme="minorEastAsia" w:hAnsiTheme="minorEastAsia" w:eastAsiaTheme="minorEastAsia"/>
                <w:spacing w:val="6"/>
                <w:w w:val="95"/>
                <w:sz w:val="28"/>
                <w:szCs w:val="28"/>
              </w:rPr>
              <w:t>40</w:t>
            </w:r>
            <w:r>
              <w:rPr>
                <w:rFonts w:hint="eastAsia" w:asciiTheme="minorEastAsia" w:hAnsiTheme="minorEastAsia" w:eastAsiaTheme="minorEastAsia"/>
                <w:spacing w:val="6"/>
                <w:w w:val="95"/>
                <w:sz w:val="28"/>
                <w:szCs w:val="28"/>
                <w:lang w:val="en-US" w:eastAsia="zh-CN"/>
              </w:rPr>
              <w:t>%</w:t>
            </w:r>
          </w:p>
        </w:tc>
      </w:tr>
    </w:tbl>
    <w:p>
      <w:pPr>
        <w:pStyle w:val="15"/>
        <w:keepNext w:val="0"/>
        <w:keepLines w:val="0"/>
        <w:pageBreakBefore w:val="0"/>
        <w:widowControl w:val="0"/>
        <w:numPr>
          <w:ilvl w:val="0"/>
          <w:numId w:val="0"/>
        </w:numPr>
        <w:tabs>
          <w:tab w:val="left" w:pos="1668"/>
        </w:tabs>
        <w:kinsoku/>
        <w:wordWrap/>
        <w:overflowPunct/>
        <w:topLinePunct w:val="0"/>
        <w:autoSpaceDE w:val="0"/>
        <w:autoSpaceDN w:val="0"/>
        <w:bidi w:val="0"/>
        <w:adjustRightInd/>
        <w:snapToGrid/>
        <w:spacing w:after="0" w:line="500" w:lineRule="exact"/>
        <w:ind w:right="0" w:rightChars="0" w:firstLine="576" w:firstLineChars="200"/>
        <w:textAlignment w:val="auto"/>
        <w:rPr>
          <w:rFonts w:asciiTheme="minorEastAsia" w:hAnsiTheme="minorEastAsia" w:eastAsiaTheme="minorEastAsia"/>
          <w:sz w:val="30"/>
          <w:szCs w:val="30"/>
        </w:rPr>
      </w:pPr>
      <w:r>
        <w:rPr>
          <w:rFonts w:hint="eastAsia" w:asciiTheme="minorEastAsia" w:hAnsiTheme="minorEastAsia" w:eastAsiaTheme="minorEastAsia"/>
          <w:spacing w:val="-6"/>
          <w:sz w:val="30"/>
          <w:szCs w:val="30"/>
          <w:lang w:eastAsia="zh-CN"/>
        </w:rPr>
        <w:t>（</w:t>
      </w:r>
      <w:r>
        <w:rPr>
          <w:rFonts w:hint="eastAsia" w:asciiTheme="minorEastAsia" w:hAnsiTheme="minorEastAsia" w:eastAsiaTheme="minorEastAsia"/>
          <w:spacing w:val="-6"/>
          <w:sz w:val="30"/>
          <w:szCs w:val="30"/>
          <w:lang w:val="en-US" w:eastAsia="zh-CN"/>
        </w:rPr>
        <w:t>3</w:t>
      </w:r>
      <w:r>
        <w:rPr>
          <w:rFonts w:hint="eastAsia" w:asciiTheme="minorEastAsia" w:hAnsiTheme="minorEastAsia" w:eastAsiaTheme="minorEastAsia"/>
          <w:spacing w:val="-6"/>
          <w:sz w:val="30"/>
          <w:szCs w:val="30"/>
          <w:lang w:eastAsia="zh-CN"/>
        </w:rPr>
        <w:t>）</w:t>
      </w:r>
      <w:r>
        <w:rPr>
          <w:rFonts w:asciiTheme="minorEastAsia" w:hAnsiTheme="minorEastAsia" w:eastAsiaTheme="minorEastAsia"/>
          <w:spacing w:val="-6"/>
          <w:sz w:val="30"/>
          <w:szCs w:val="30"/>
        </w:rPr>
        <w:t xml:space="preserve">科研竞赛获奖成员人数大于等于 </w:t>
      </w:r>
      <w:r>
        <w:rPr>
          <w:rFonts w:asciiTheme="minorEastAsia" w:hAnsiTheme="minorEastAsia" w:eastAsiaTheme="minorEastAsia"/>
          <w:sz w:val="30"/>
          <w:szCs w:val="30"/>
        </w:rPr>
        <w:t>3</w:t>
      </w:r>
      <w:r>
        <w:rPr>
          <w:rFonts w:asciiTheme="minorEastAsia" w:hAnsiTheme="minorEastAsia" w:eastAsiaTheme="minorEastAsia"/>
          <w:spacing w:val="-13"/>
          <w:sz w:val="30"/>
          <w:szCs w:val="30"/>
        </w:rPr>
        <w:t xml:space="preserve"> 位的位次系数</w:t>
      </w:r>
    </w:p>
    <w:tbl>
      <w:tblPr>
        <w:tblStyle w:val="10"/>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021"/>
        <w:gridCol w:w="3105"/>
        <w:gridCol w:w="39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0" w:hRule="atLeast"/>
        </w:trPr>
        <w:tc>
          <w:tcPr>
            <w:tcW w:w="1113"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序号</w:t>
            </w:r>
          </w:p>
        </w:tc>
        <w:tc>
          <w:tcPr>
            <w:tcW w:w="1710"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位次</w:t>
            </w:r>
          </w:p>
        </w:tc>
        <w:tc>
          <w:tcPr>
            <w:tcW w:w="2176" w:type="pct"/>
          </w:tcPr>
          <w:p>
            <w:pPr>
              <w:pStyle w:val="18"/>
              <w:keepNext w:val="0"/>
              <w:keepLines w:val="0"/>
              <w:pageBreakBefore w:val="0"/>
              <w:kinsoku/>
              <w:wordWrap/>
              <w:overflowPunct/>
              <w:topLinePunct w:val="0"/>
              <w:bidi w:val="0"/>
              <w:adjustRightInd/>
              <w:snapToGrid/>
              <w:spacing w:before="0" w:after="0" w:line="500" w:lineRule="exact"/>
              <w:ind w:left="0" w:right="0"/>
              <w:jc w:val="center"/>
              <w:textAlignment w:val="auto"/>
              <w:rPr>
                <w:rFonts w:asciiTheme="minorEastAsia" w:hAnsiTheme="minorEastAsia" w:eastAsiaTheme="minorEastAsia"/>
                <w:sz w:val="28"/>
                <w:szCs w:val="28"/>
              </w:rPr>
            </w:pPr>
            <w:r>
              <w:rPr>
                <w:rFonts w:asciiTheme="minorEastAsia" w:hAnsiTheme="minorEastAsia" w:eastAsiaTheme="minorEastAsia"/>
                <w:sz w:val="28"/>
                <w:szCs w:val="28"/>
              </w:rPr>
              <w:t>位次系数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3" w:hRule="atLeast"/>
        </w:trPr>
        <w:tc>
          <w:tcPr>
            <w:tcW w:w="1113"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1</w:t>
            </w:r>
          </w:p>
        </w:tc>
        <w:tc>
          <w:tcPr>
            <w:tcW w:w="1710"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1</w:t>
            </w:r>
          </w:p>
        </w:tc>
        <w:tc>
          <w:tcPr>
            <w:tcW w:w="2176"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hint="eastAsia" w:asciiTheme="minorEastAsia" w:hAnsiTheme="minorEastAsia" w:eastAsiaTheme="minorEastAsia"/>
                <w:sz w:val="28"/>
                <w:szCs w:val="28"/>
                <w:lang w:val="en-US" w:eastAsia="zh-CN"/>
              </w:rPr>
            </w:pPr>
            <w:r>
              <w:rPr>
                <w:rFonts w:asciiTheme="minorEastAsia" w:hAnsiTheme="minorEastAsia" w:eastAsiaTheme="minorEastAsia"/>
                <w:spacing w:val="6"/>
                <w:w w:val="95"/>
                <w:sz w:val="28"/>
                <w:szCs w:val="28"/>
              </w:rPr>
              <w:t>50</w:t>
            </w:r>
            <w:r>
              <w:rPr>
                <w:rFonts w:hint="eastAsia" w:asciiTheme="minorEastAsia" w:hAnsiTheme="minorEastAsia" w:eastAsiaTheme="minorEastAsia"/>
                <w:spacing w:val="6"/>
                <w:w w:val="95"/>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69" w:hRule="atLeast"/>
        </w:trPr>
        <w:tc>
          <w:tcPr>
            <w:tcW w:w="1113"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2</w:t>
            </w:r>
          </w:p>
        </w:tc>
        <w:tc>
          <w:tcPr>
            <w:tcW w:w="1710"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2</w:t>
            </w:r>
          </w:p>
        </w:tc>
        <w:tc>
          <w:tcPr>
            <w:tcW w:w="2176"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hint="eastAsia" w:asciiTheme="minorEastAsia" w:hAnsiTheme="minorEastAsia" w:eastAsiaTheme="minorEastAsia"/>
                <w:sz w:val="28"/>
                <w:szCs w:val="28"/>
                <w:lang w:val="en-US" w:eastAsia="zh-CN"/>
              </w:rPr>
            </w:pPr>
            <w:r>
              <w:rPr>
                <w:rFonts w:asciiTheme="minorEastAsia" w:hAnsiTheme="minorEastAsia" w:eastAsiaTheme="minorEastAsia"/>
                <w:spacing w:val="6"/>
                <w:w w:val="95"/>
                <w:sz w:val="28"/>
                <w:szCs w:val="28"/>
              </w:rPr>
              <w:t>30</w:t>
            </w:r>
            <w:r>
              <w:rPr>
                <w:rFonts w:hint="eastAsia" w:asciiTheme="minorEastAsia" w:hAnsiTheme="minorEastAsia" w:eastAsiaTheme="minorEastAsia"/>
                <w:spacing w:val="6"/>
                <w:w w:val="95"/>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6" w:hRule="atLeast"/>
        </w:trPr>
        <w:tc>
          <w:tcPr>
            <w:tcW w:w="1113"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3</w:t>
            </w:r>
          </w:p>
        </w:tc>
        <w:tc>
          <w:tcPr>
            <w:tcW w:w="1710"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3</w:t>
            </w:r>
          </w:p>
        </w:tc>
        <w:tc>
          <w:tcPr>
            <w:tcW w:w="2176"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hint="eastAsia" w:asciiTheme="minorEastAsia" w:hAnsiTheme="minorEastAsia" w:eastAsiaTheme="minorEastAsia"/>
                <w:sz w:val="28"/>
                <w:szCs w:val="28"/>
                <w:lang w:val="en-US" w:eastAsia="zh-CN"/>
              </w:rPr>
            </w:pPr>
            <w:r>
              <w:rPr>
                <w:rFonts w:asciiTheme="minorEastAsia" w:hAnsiTheme="minorEastAsia" w:eastAsiaTheme="minorEastAsia"/>
                <w:spacing w:val="6"/>
                <w:w w:val="95"/>
                <w:sz w:val="28"/>
                <w:szCs w:val="28"/>
              </w:rPr>
              <w:t>20</w:t>
            </w:r>
            <w:r>
              <w:rPr>
                <w:rFonts w:hint="eastAsia" w:asciiTheme="minorEastAsia" w:hAnsiTheme="minorEastAsia" w:eastAsiaTheme="minorEastAsia"/>
                <w:spacing w:val="6"/>
                <w:w w:val="95"/>
                <w:sz w:val="28"/>
                <w:szCs w:val="28"/>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trPr>
        <w:tc>
          <w:tcPr>
            <w:tcW w:w="1113"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w w:val="99"/>
                <w:sz w:val="28"/>
                <w:szCs w:val="28"/>
              </w:rPr>
              <w:t>4</w:t>
            </w:r>
          </w:p>
        </w:tc>
        <w:tc>
          <w:tcPr>
            <w:tcW w:w="1710"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asciiTheme="minorEastAsia" w:hAnsiTheme="minorEastAsia" w:eastAsiaTheme="minorEastAsia"/>
                <w:sz w:val="28"/>
                <w:szCs w:val="28"/>
              </w:rPr>
            </w:pPr>
            <w:r>
              <w:rPr>
                <w:rFonts w:asciiTheme="minorEastAsia" w:hAnsiTheme="minorEastAsia" w:eastAsiaTheme="minorEastAsia"/>
                <w:sz w:val="28"/>
                <w:szCs w:val="28"/>
              </w:rPr>
              <w:t>4 及以后</w:t>
            </w:r>
          </w:p>
        </w:tc>
        <w:tc>
          <w:tcPr>
            <w:tcW w:w="2176" w:type="pct"/>
          </w:tcPr>
          <w:p>
            <w:pPr>
              <w:pStyle w:val="18"/>
              <w:keepNext w:val="0"/>
              <w:keepLines w:val="0"/>
              <w:pageBreakBefore w:val="0"/>
              <w:kinsoku/>
              <w:wordWrap/>
              <w:overflowPunct/>
              <w:topLinePunct w:val="0"/>
              <w:bidi w:val="0"/>
              <w:adjustRightInd/>
              <w:snapToGrid/>
              <w:spacing w:before="0" w:after="0" w:line="500" w:lineRule="exact"/>
              <w:ind w:left="0" w:right="0"/>
              <w:textAlignment w:val="auto"/>
              <w:rPr>
                <w:rFonts w:hint="eastAsia" w:asciiTheme="minorEastAsia" w:hAnsiTheme="minorEastAsia" w:eastAsiaTheme="minorEastAsia"/>
                <w:sz w:val="28"/>
                <w:szCs w:val="28"/>
                <w:lang w:val="en-US" w:eastAsia="zh-CN"/>
              </w:rPr>
            </w:pPr>
            <w:r>
              <w:rPr>
                <w:rFonts w:asciiTheme="minorEastAsia" w:hAnsiTheme="minorEastAsia" w:eastAsiaTheme="minorEastAsia"/>
                <w:spacing w:val="11"/>
                <w:w w:val="99"/>
                <w:sz w:val="28"/>
                <w:szCs w:val="28"/>
              </w:rPr>
              <w:t>0</w:t>
            </w:r>
            <w:r>
              <w:rPr>
                <w:rFonts w:hint="eastAsia" w:asciiTheme="minorEastAsia" w:hAnsiTheme="minorEastAsia" w:eastAsiaTheme="minorEastAsia"/>
                <w:spacing w:val="11"/>
                <w:w w:val="99"/>
                <w:sz w:val="28"/>
                <w:szCs w:val="28"/>
                <w:lang w:val="en-US" w:eastAsia="zh-CN"/>
              </w:rPr>
              <w:t>%</w:t>
            </w:r>
          </w:p>
        </w:tc>
      </w:tr>
    </w:tbl>
    <w:p>
      <w:pPr>
        <w:pStyle w:val="15"/>
        <w:keepNext w:val="0"/>
        <w:keepLines w:val="0"/>
        <w:pageBreakBefore w:val="0"/>
        <w:widowControl w:val="0"/>
        <w:numPr>
          <w:ilvl w:val="0"/>
          <w:numId w:val="0"/>
        </w:numPr>
        <w:tabs>
          <w:tab w:val="left" w:pos="1688"/>
        </w:tabs>
        <w:kinsoku/>
        <w:wordWrap/>
        <w:overflowPunct/>
        <w:topLinePunct w:val="0"/>
        <w:autoSpaceDE w:val="0"/>
        <w:autoSpaceDN w:val="0"/>
        <w:bidi w:val="0"/>
        <w:adjustRightInd/>
        <w:snapToGrid/>
        <w:spacing w:after="0" w:line="500" w:lineRule="exact"/>
        <w:ind w:right="0" w:rightChars="0" w:firstLine="596" w:firstLineChars="200"/>
        <w:textAlignment w:val="auto"/>
        <w:rPr>
          <w:rFonts w:asciiTheme="minorEastAsia" w:hAnsiTheme="minorEastAsia" w:eastAsiaTheme="minorEastAsia"/>
          <w:sz w:val="30"/>
          <w:szCs w:val="30"/>
        </w:rPr>
      </w:pPr>
      <w:r>
        <w:rPr>
          <w:rFonts w:hint="eastAsia" w:asciiTheme="minorEastAsia" w:hAnsiTheme="minorEastAsia" w:eastAsiaTheme="minorEastAsia"/>
          <w:spacing w:val="-1"/>
          <w:sz w:val="30"/>
          <w:szCs w:val="30"/>
          <w:lang w:eastAsia="zh-CN"/>
        </w:rPr>
        <w:t>（</w:t>
      </w:r>
      <w:r>
        <w:rPr>
          <w:rFonts w:hint="eastAsia" w:asciiTheme="minorEastAsia" w:hAnsiTheme="minorEastAsia" w:eastAsiaTheme="minorEastAsia"/>
          <w:spacing w:val="-1"/>
          <w:sz w:val="30"/>
          <w:szCs w:val="30"/>
          <w:lang w:val="en-US" w:eastAsia="zh-CN"/>
        </w:rPr>
        <w:t>4</w:t>
      </w:r>
      <w:r>
        <w:rPr>
          <w:rFonts w:hint="eastAsia" w:asciiTheme="minorEastAsia" w:hAnsiTheme="minorEastAsia" w:eastAsiaTheme="minorEastAsia"/>
          <w:spacing w:val="-1"/>
          <w:sz w:val="30"/>
          <w:szCs w:val="30"/>
          <w:lang w:eastAsia="zh-CN"/>
        </w:rPr>
        <w:t>）</w:t>
      </w:r>
      <w:r>
        <w:rPr>
          <w:rFonts w:asciiTheme="minorEastAsia" w:hAnsiTheme="minorEastAsia" w:eastAsiaTheme="minorEastAsia"/>
          <w:spacing w:val="-1"/>
          <w:sz w:val="30"/>
          <w:szCs w:val="30"/>
        </w:rPr>
        <w:t xml:space="preserve">对于不区分位次的科研竞赛，位次系数为 </w:t>
      </w:r>
      <w:r>
        <w:rPr>
          <w:rFonts w:asciiTheme="minorEastAsia" w:hAnsiTheme="minorEastAsia" w:eastAsiaTheme="minorEastAsia"/>
          <w:spacing w:val="2"/>
          <w:sz w:val="30"/>
          <w:szCs w:val="30"/>
        </w:rPr>
        <w:t>1/n（n</w:t>
      </w:r>
      <w:r>
        <w:rPr>
          <w:rFonts w:asciiTheme="minorEastAsia" w:hAnsiTheme="minorEastAsia" w:eastAsiaTheme="minorEastAsia"/>
          <w:spacing w:val="-5"/>
          <w:sz w:val="30"/>
          <w:szCs w:val="30"/>
        </w:rPr>
        <w:t>=参</w:t>
      </w:r>
      <w:r>
        <w:rPr>
          <w:rFonts w:asciiTheme="minorEastAsia" w:hAnsiTheme="minorEastAsia" w:eastAsiaTheme="minorEastAsia"/>
          <w:sz w:val="30"/>
          <w:szCs w:val="30"/>
        </w:rPr>
        <w:t>赛团队人数）。</w:t>
      </w:r>
    </w:p>
    <w:p>
      <w:pPr>
        <w:pStyle w:val="4"/>
        <w:keepNext w:val="0"/>
        <w:keepLines w:val="0"/>
        <w:pageBreakBefore w:val="0"/>
        <w:kinsoku/>
        <w:wordWrap/>
        <w:overflowPunct/>
        <w:topLinePunct w:val="0"/>
        <w:bidi w:val="0"/>
        <w:adjustRightInd/>
        <w:snapToGrid/>
        <w:spacing w:after="0" w:line="500" w:lineRule="exact"/>
        <w:ind w:left="0" w:right="0"/>
        <w:textAlignment w:val="auto"/>
        <w:rPr>
          <w:rFonts w:asciiTheme="minorEastAsia" w:hAnsiTheme="minorEastAsia" w:eastAsiaTheme="minorEastAsia"/>
          <w:b/>
          <w:bCs/>
          <w:sz w:val="30"/>
          <w:szCs w:val="30"/>
        </w:rPr>
      </w:pPr>
      <w:r>
        <w:rPr>
          <w:rFonts w:hint="eastAsia" w:asciiTheme="minorEastAsia" w:hAnsiTheme="minorEastAsia" w:eastAsiaTheme="minorEastAsia"/>
          <w:b/>
          <w:bCs/>
          <w:sz w:val="30"/>
          <w:szCs w:val="30"/>
        </w:rPr>
        <w:t>四、计分规则</w:t>
      </w:r>
    </w:p>
    <w:p>
      <w:pPr>
        <w:pStyle w:val="4"/>
        <w:keepNext w:val="0"/>
        <w:keepLines w:val="0"/>
        <w:pageBreakBefore w:val="0"/>
        <w:widowControl/>
        <w:kinsoku/>
        <w:wordWrap/>
        <w:overflowPunct/>
        <w:topLinePunct w:val="0"/>
        <w:autoSpaceDE/>
        <w:autoSpaceDN/>
        <w:bidi w:val="0"/>
        <w:adjustRightInd/>
        <w:snapToGrid/>
        <w:spacing w:after="0" w:line="500" w:lineRule="exact"/>
        <w:ind w:left="0" w:right="0"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（一）同类别有多项加分情况时，只取最高得分项计分。</w:t>
      </w:r>
    </w:p>
    <w:p>
      <w:pPr>
        <w:pStyle w:val="4"/>
        <w:keepNext w:val="0"/>
        <w:keepLines w:val="0"/>
        <w:pageBreakBefore w:val="0"/>
        <w:widowControl/>
        <w:kinsoku/>
        <w:wordWrap/>
        <w:overflowPunct/>
        <w:topLinePunct w:val="0"/>
        <w:autoSpaceDE/>
        <w:autoSpaceDN/>
        <w:bidi w:val="0"/>
        <w:adjustRightInd/>
        <w:snapToGrid/>
        <w:spacing w:after="0" w:line="500" w:lineRule="exact"/>
        <w:ind w:left="0" w:leftChars="0" w:right="0" w:firstLine="570" w:firstLineChars="200"/>
        <w:textAlignment w:val="auto"/>
        <w:rPr>
          <w:rFonts w:asciiTheme="minorEastAsia" w:hAnsiTheme="minorEastAsia" w:eastAsiaTheme="minorEastAsia"/>
          <w:sz w:val="30"/>
          <w:szCs w:val="30"/>
        </w:rPr>
      </w:pPr>
      <w:r>
        <w:rPr>
          <w:rFonts w:asciiTheme="minorEastAsia" w:hAnsiTheme="minorEastAsia" w:eastAsiaTheme="minorEastAsia"/>
          <w:w w:val="95"/>
          <w:sz w:val="30"/>
          <w:szCs w:val="30"/>
        </w:rPr>
        <w:t>（二</w:t>
      </w:r>
      <w:r>
        <w:rPr>
          <w:rFonts w:asciiTheme="minorEastAsia" w:hAnsiTheme="minorEastAsia" w:eastAsiaTheme="minorEastAsia"/>
          <w:spacing w:val="-58"/>
          <w:w w:val="95"/>
          <w:sz w:val="30"/>
          <w:szCs w:val="30"/>
        </w:rPr>
        <w:t>）</w:t>
      </w:r>
      <w:r>
        <w:rPr>
          <w:rFonts w:asciiTheme="minorEastAsia" w:hAnsiTheme="minorEastAsia" w:eastAsiaTheme="minorEastAsia"/>
          <w:spacing w:val="-3"/>
          <w:w w:val="95"/>
          <w:sz w:val="30"/>
          <w:szCs w:val="30"/>
        </w:rPr>
        <w:t>获奖认定以竞赛组织部门正式发布的获奖文件</w:t>
      </w:r>
      <w:r>
        <w:rPr>
          <w:rFonts w:asciiTheme="minorEastAsia" w:hAnsiTheme="minorEastAsia" w:eastAsiaTheme="minorEastAsia"/>
          <w:w w:val="95"/>
          <w:sz w:val="30"/>
          <w:szCs w:val="30"/>
        </w:rPr>
        <w:t>（含官</w:t>
      </w:r>
      <w:r>
        <w:rPr>
          <w:rFonts w:asciiTheme="minorEastAsia" w:hAnsiTheme="minorEastAsia" w:eastAsiaTheme="minorEastAsia"/>
          <w:sz w:val="30"/>
          <w:szCs w:val="30"/>
        </w:rPr>
        <w:t>方网站公布的获奖文件）或获奖证书为准。</w:t>
      </w:r>
    </w:p>
    <w:p>
      <w:pPr>
        <w:pStyle w:val="4"/>
        <w:keepNext w:val="0"/>
        <w:keepLines w:val="0"/>
        <w:pageBreakBefore w:val="0"/>
        <w:widowControl/>
        <w:kinsoku/>
        <w:wordWrap/>
        <w:overflowPunct/>
        <w:topLinePunct w:val="0"/>
        <w:autoSpaceDE/>
        <w:autoSpaceDN/>
        <w:bidi w:val="0"/>
        <w:adjustRightInd/>
        <w:snapToGrid/>
        <w:spacing w:after="0" w:line="500" w:lineRule="exact"/>
        <w:ind w:left="0" w:leftChars="0" w:right="0" w:firstLine="600" w:firstLineChars="200"/>
        <w:textAlignment w:val="auto"/>
        <w:rPr>
          <w:rFonts w:asciiTheme="minorEastAsia" w:hAnsiTheme="minorEastAsia" w:eastAsiaTheme="minorEastAsia"/>
          <w:sz w:val="30"/>
          <w:szCs w:val="30"/>
        </w:rPr>
      </w:pPr>
      <w:r>
        <w:rPr>
          <w:rFonts w:asciiTheme="minorEastAsia" w:hAnsiTheme="minorEastAsia" w:eastAsiaTheme="minorEastAsia"/>
          <w:sz w:val="30"/>
          <w:szCs w:val="30"/>
        </w:rPr>
        <w:t>（三</w:t>
      </w:r>
      <w:r>
        <w:rPr>
          <w:rFonts w:asciiTheme="minorEastAsia" w:hAnsiTheme="minorEastAsia" w:eastAsiaTheme="minorEastAsia"/>
          <w:spacing w:val="-58"/>
          <w:sz w:val="30"/>
          <w:szCs w:val="30"/>
        </w:rPr>
        <w:t>）</w:t>
      </w:r>
      <w:r>
        <w:rPr>
          <w:rFonts w:asciiTheme="minorEastAsia" w:hAnsiTheme="minorEastAsia" w:eastAsiaTheme="minorEastAsia"/>
          <w:spacing w:val="-4"/>
          <w:sz w:val="30"/>
          <w:szCs w:val="30"/>
        </w:rPr>
        <w:t>发表的科研论文以正式出版物为准，被检索收录证明需申请者提供。</w:t>
      </w:r>
    </w:p>
    <w:p>
      <w:pPr>
        <w:pStyle w:val="9"/>
        <w:keepNext w:val="0"/>
        <w:keepLines w:val="0"/>
        <w:pageBreakBefore w:val="0"/>
        <w:kinsoku/>
        <w:wordWrap/>
        <w:overflowPunct/>
        <w:topLinePunct w:val="0"/>
        <w:bidi w:val="0"/>
        <w:adjustRightInd/>
        <w:snapToGrid/>
        <w:spacing w:before="0" w:beforeAutospacing="0" w:after="0" w:afterAutospacing="0" w:line="500" w:lineRule="exact"/>
        <w:ind w:left="0" w:right="0"/>
        <w:textAlignment w:val="auto"/>
        <w:rPr>
          <w:rFonts w:asciiTheme="minorEastAsia" w:hAnsiTheme="minorEastAsia" w:eastAsiaTheme="minorEastAsia"/>
          <w:sz w:val="30"/>
          <w:szCs w:val="30"/>
        </w:rPr>
      </w:pPr>
    </w:p>
    <w:sectPr>
      <w:footerReference r:id="rId4" w:type="default"/>
      <w:pgSz w:w="11906" w:h="16838"/>
      <w:pgMar w:top="1440" w:right="1417" w:bottom="1440" w:left="1417" w:header="708" w:footer="709"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ind w:left="0"/>
      <w:rPr>
        <w:sz w:val="20"/>
      </w:rPr>
    </w:pPr>
    <w:r>
      <w:pict>
        <v:shape id="_x0000_s1026" o:spid="_x0000_s1026" o:spt="202" type="#_x0000_t202" style="position:absolute;left:0pt;margin-left:478.6pt;margin-top:764.8pt;height:16.05pt;width:44.05pt;mso-position-horizontal-relative:page;mso-position-vertical-relative:page;z-index:-251657216;mso-width-relative:page;mso-height-relative:page;" filled="f" stroked="f" coordsize="21600,21600" o:gfxdata="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E63duPbAAAADgEAAA8AAAAAAAAAAQAgAAAAIgAAAGRycy9kb3ducmV2LnhtbFBL&#10;AQIUABQAAAAIAIdO4kCQZk2UugEAAHEDAAAOAAAAAAAAAAEAIAAAACoBAABkcnMvZTJvRG9jLnht&#10;bFBLBQYAAAAABgAGAFkBAABWBQAAAAA=&#10;">
          <v:path/>
          <v:fill on="f" focussize="0,0"/>
          <v:stroke on="f" joinstyle="miter"/>
          <v:imagedata o:title=""/>
          <o:lock v:ext="edit"/>
          <v:textbox inset="0mm,0mm,0mm,0mm">
            <w:txbxContent>
              <w:p>
                <w:pPr>
                  <w:spacing w:line="321" w:lineRule="exact"/>
                  <w:ind w:left="20"/>
                  <w:rPr>
                    <w:sz w:val="28"/>
                  </w:rPr>
                </w:pPr>
                <w:r>
                  <w:rPr>
                    <w:sz w:val="28"/>
                  </w:rPr>
                  <w:t>—</w:t>
                </w:r>
                <w:r>
                  <w:fldChar w:fldCharType="begin"/>
                </w:r>
                <w:r>
                  <w:rPr>
                    <w:sz w:val="28"/>
                  </w:rPr>
                  <w:instrText xml:space="preserve"> PAGE </w:instrText>
                </w:r>
                <w:r>
                  <w:fldChar w:fldCharType="separate"/>
                </w:r>
                <w:r>
                  <w:rPr>
                    <w:sz w:val="28"/>
                  </w:rPr>
                  <w:t>15</w:t>
                </w:r>
                <w:r>
                  <w:fldChar w:fldCharType="end"/>
                </w:r>
                <w:r>
                  <w:rPr>
                    <w:sz w:val="28"/>
                  </w:rPr>
                  <w:t>—</w:t>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DB04C"/>
    <w:multiLevelType w:val="singleLevel"/>
    <w:tmpl w:val="82CDB04C"/>
    <w:lvl w:ilvl="0" w:tentative="0">
      <w:start w:val="1"/>
      <w:numFmt w:val="chineseCounting"/>
      <w:suff w:val="nothing"/>
      <w:lvlText w:val="（%1）"/>
      <w:lvlJc w:val="left"/>
      <w:rPr>
        <w:rFonts w:hint="eastAsia"/>
      </w:rPr>
    </w:lvl>
  </w:abstractNum>
  <w:abstractNum w:abstractNumId="1">
    <w:nsid w:val="9B8B468B"/>
    <w:multiLevelType w:val="singleLevel"/>
    <w:tmpl w:val="9B8B468B"/>
    <w:lvl w:ilvl="0" w:tentative="0">
      <w:start w:val="2"/>
      <w:numFmt w:val="chineseCounting"/>
      <w:suff w:val="nothing"/>
      <w:lvlText w:val="（%1）"/>
      <w:lvlJc w:val="left"/>
      <w:rPr>
        <w:rFonts w:hint="eastAsia"/>
      </w:rPr>
    </w:lvl>
  </w:abstractNum>
  <w:abstractNum w:abstractNumId="2">
    <w:nsid w:val="1AFDDD56"/>
    <w:multiLevelType w:val="singleLevel"/>
    <w:tmpl w:val="1AFDDD56"/>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hdrShapeDefaults>
    <o:shapelayout v:ext="edit">
      <o:idmap v:ext="edit" data="1"/>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rsids>
    <w:rsidRoot w:val="00D31D50"/>
    <w:rsid w:val="00077B78"/>
    <w:rsid w:val="001225BB"/>
    <w:rsid w:val="00140843"/>
    <w:rsid w:val="001626C4"/>
    <w:rsid w:val="00174215"/>
    <w:rsid w:val="00192EF2"/>
    <w:rsid w:val="001A17BA"/>
    <w:rsid w:val="001A1BFD"/>
    <w:rsid w:val="00226479"/>
    <w:rsid w:val="00264473"/>
    <w:rsid w:val="00294401"/>
    <w:rsid w:val="002A15A1"/>
    <w:rsid w:val="00323B43"/>
    <w:rsid w:val="003520EB"/>
    <w:rsid w:val="00383535"/>
    <w:rsid w:val="003902EE"/>
    <w:rsid w:val="003925CE"/>
    <w:rsid w:val="003C56EA"/>
    <w:rsid w:val="003D37D8"/>
    <w:rsid w:val="004142CC"/>
    <w:rsid w:val="00426133"/>
    <w:rsid w:val="004358AB"/>
    <w:rsid w:val="004569CB"/>
    <w:rsid w:val="00491855"/>
    <w:rsid w:val="004F5556"/>
    <w:rsid w:val="00501A71"/>
    <w:rsid w:val="00523E61"/>
    <w:rsid w:val="00566CB0"/>
    <w:rsid w:val="00570815"/>
    <w:rsid w:val="00575734"/>
    <w:rsid w:val="00595465"/>
    <w:rsid w:val="005C61FF"/>
    <w:rsid w:val="0061729F"/>
    <w:rsid w:val="006366D6"/>
    <w:rsid w:val="006479D6"/>
    <w:rsid w:val="00650F1B"/>
    <w:rsid w:val="00653B10"/>
    <w:rsid w:val="00672B69"/>
    <w:rsid w:val="006A1D9B"/>
    <w:rsid w:val="006C3F80"/>
    <w:rsid w:val="00704243"/>
    <w:rsid w:val="00710E2C"/>
    <w:rsid w:val="00712D37"/>
    <w:rsid w:val="00714C11"/>
    <w:rsid w:val="007159CE"/>
    <w:rsid w:val="0071772B"/>
    <w:rsid w:val="00725B05"/>
    <w:rsid w:val="00761186"/>
    <w:rsid w:val="007670C5"/>
    <w:rsid w:val="0079770F"/>
    <w:rsid w:val="007A5DC0"/>
    <w:rsid w:val="007C7748"/>
    <w:rsid w:val="007D758F"/>
    <w:rsid w:val="007D7A9A"/>
    <w:rsid w:val="007F76BA"/>
    <w:rsid w:val="008302B8"/>
    <w:rsid w:val="00831127"/>
    <w:rsid w:val="00832CD2"/>
    <w:rsid w:val="00835676"/>
    <w:rsid w:val="0085191E"/>
    <w:rsid w:val="00877D46"/>
    <w:rsid w:val="008B7726"/>
    <w:rsid w:val="008C0B4B"/>
    <w:rsid w:val="008C532B"/>
    <w:rsid w:val="00921A24"/>
    <w:rsid w:val="00932058"/>
    <w:rsid w:val="009A5854"/>
    <w:rsid w:val="009B7AFA"/>
    <w:rsid w:val="00A14E86"/>
    <w:rsid w:val="00A172C3"/>
    <w:rsid w:val="00A21E5C"/>
    <w:rsid w:val="00A45223"/>
    <w:rsid w:val="00B1486D"/>
    <w:rsid w:val="00B26A37"/>
    <w:rsid w:val="00B33284"/>
    <w:rsid w:val="00B40920"/>
    <w:rsid w:val="00B73BC8"/>
    <w:rsid w:val="00B86394"/>
    <w:rsid w:val="00BA186A"/>
    <w:rsid w:val="00BA22FF"/>
    <w:rsid w:val="00BE19E7"/>
    <w:rsid w:val="00C47AFC"/>
    <w:rsid w:val="00C663D7"/>
    <w:rsid w:val="00C858E2"/>
    <w:rsid w:val="00CA5630"/>
    <w:rsid w:val="00CC1D1D"/>
    <w:rsid w:val="00D0101E"/>
    <w:rsid w:val="00D31D50"/>
    <w:rsid w:val="00D50DAE"/>
    <w:rsid w:val="00D51926"/>
    <w:rsid w:val="00D53082"/>
    <w:rsid w:val="00E37056"/>
    <w:rsid w:val="00E93700"/>
    <w:rsid w:val="00E97F41"/>
    <w:rsid w:val="00EB7FC4"/>
    <w:rsid w:val="00EC276E"/>
    <w:rsid w:val="00EE06E5"/>
    <w:rsid w:val="00EE31BF"/>
    <w:rsid w:val="00F03843"/>
    <w:rsid w:val="00F206D5"/>
    <w:rsid w:val="00F74CC2"/>
    <w:rsid w:val="00FD31CD"/>
    <w:rsid w:val="00FD45E8"/>
    <w:rsid w:val="0118106D"/>
    <w:rsid w:val="011C52F9"/>
    <w:rsid w:val="012E1C41"/>
    <w:rsid w:val="01303E59"/>
    <w:rsid w:val="01AA1C04"/>
    <w:rsid w:val="01C236A4"/>
    <w:rsid w:val="01C67D30"/>
    <w:rsid w:val="01D97031"/>
    <w:rsid w:val="02365274"/>
    <w:rsid w:val="02433778"/>
    <w:rsid w:val="025E7D04"/>
    <w:rsid w:val="02DE4F3D"/>
    <w:rsid w:val="03707A7C"/>
    <w:rsid w:val="03734A16"/>
    <w:rsid w:val="038047E5"/>
    <w:rsid w:val="03B621D2"/>
    <w:rsid w:val="03EA54C3"/>
    <w:rsid w:val="043B24CD"/>
    <w:rsid w:val="04733F5B"/>
    <w:rsid w:val="04DC5185"/>
    <w:rsid w:val="05765976"/>
    <w:rsid w:val="058C4A30"/>
    <w:rsid w:val="05C652D6"/>
    <w:rsid w:val="05C66AEF"/>
    <w:rsid w:val="05CA2BE6"/>
    <w:rsid w:val="064A671E"/>
    <w:rsid w:val="06B00C8A"/>
    <w:rsid w:val="06D045A7"/>
    <w:rsid w:val="06E13F52"/>
    <w:rsid w:val="06FF305D"/>
    <w:rsid w:val="071F7B01"/>
    <w:rsid w:val="073B372D"/>
    <w:rsid w:val="07531623"/>
    <w:rsid w:val="078C6861"/>
    <w:rsid w:val="07A12C8C"/>
    <w:rsid w:val="086E2532"/>
    <w:rsid w:val="08A24C79"/>
    <w:rsid w:val="08F6046A"/>
    <w:rsid w:val="09104AD6"/>
    <w:rsid w:val="0911310C"/>
    <w:rsid w:val="09231E25"/>
    <w:rsid w:val="0929151B"/>
    <w:rsid w:val="093B2D45"/>
    <w:rsid w:val="09472EBA"/>
    <w:rsid w:val="098D57CE"/>
    <w:rsid w:val="09DE347C"/>
    <w:rsid w:val="09EB3869"/>
    <w:rsid w:val="0A0C7EFE"/>
    <w:rsid w:val="0A0F5319"/>
    <w:rsid w:val="0AD05A66"/>
    <w:rsid w:val="0AF01C3B"/>
    <w:rsid w:val="0B22549B"/>
    <w:rsid w:val="0B7B2E06"/>
    <w:rsid w:val="0B7C609E"/>
    <w:rsid w:val="0BA87A30"/>
    <w:rsid w:val="0BAA4878"/>
    <w:rsid w:val="0BF17AA2"/>
    <w:rsid w:val="0BF860A5"/>
    <w:rsid w:val="0C24224B"/>
    <w:rsid w:val="0C4E0D29"/>
    <w:rsid w:val="0C797F32"/>
    <w:rsid w:val="0CC06B06"/>
    <w:rsid w:val="0CDE7538"/>
    <w:rsid w:val="0D346D32"/>
    <w:rsid w:val="0D8C3DCD"/>
    <w:rsid w:val="0DA23F29"/>
    <w:rsid w:val="0DBA4AD5"/>
    <w:rsid w:val="0DF067C1"/>
    <w:rsid w:val="0DFC0F66"/>
    <w:rsid w:val="0E1F4609"/>
    <w:rsid w:val="0E3413C7"/>
    <w:rsid w:val="0E7860F7"/>
    <w:rsid w:val="0EC67EC9"/>
    <w:rsid w:val="0F2E7D3F"/>
    <w:rsid w:val="0F37388F"/>
    <w:rsid w:val="0F7C62F8"/>
    <w:rsid w:val="0FA54536"/>
    <w:rsid w:val="0FC07831"/>
    <w:rsid w:val="0FCA6CC9"/>
    <w:rsid w:val="10051EAF"/>
    <w:rsid w:val="102C279E"/>
    <w:rsid w:val="108F64BB"/>
    <w:rsid w:val="109E47BB"/>
    <w:rsid w:val="10C47E79"/>
    <w:rsid w:val="10CF7F95"/>
    <w:rsid w:val="10F53695"/>
    <w:rsid w:val="10FB61EB"/>
    <w:rsid w:val="11157EFC"/>
    <w:rsid w:val="11166937"/>
    <w:rsid w:val="11286DD3"/>
    <w:rsid w:val="116D231F"/>
    <w:rsid w:val="11993FCA"/>
    <w:rsid w:val="11E4031D"/>
    <w:rsid w:val="12114ADE"/>
    <w:rsid w:val="12302570"/>
    <w:rsid w:val="126E2EB7"/>
    <w:rsid w:val="129D3C06"/>
    <w:rsid w:val="12AD3819"/>
    <w:rsid w:val="12DB0FA9"/>
    <w:rsid w:val="12FE2DC3"/>
    <w:rsid w:val="133228FB"/>
    <w:rsid w:val="13770F4C"/>
    <w:rsid w:val="138414CB"/>
    <w:rsid w:val="13947A17"/>
    <w:rsid w:val="14117BB7"/>
    <w:rsid w:val="14433068"/>
    <w:rsid w:val="145131F1"/>
    <w:rsid w:val="14CE24B7"/>
    <w:rsid w:val="14F40C2C"/>
    <w:rsid w:val="15222382"/>
    <w:rsid w:val="153B0ADE"/>
    <w:rsid w:val="157A0FBA"/>
    <w:rsid w:val="157D21C0"/>
    <w:rsid w:val="158B0C67"/>
    <w:rsid w:val="161D7E4C"/>
    <w:rsid w:val="176D1CE5"/>
    <w:rsid w:val="17DE5787"/>
    <w:rsid w:val="17E850EF"/>
    <w:rsid w:val="181C1C6A"/>
    <w:rsid w:val="1821769D"/>
    <w:rsid w:val="182B17B7"/>
    <w:rsid w:val="184A63C9"/>
    <w:rsid w:val="188268E5"/>
    <w:rsid w:val="18910BC8"/>
    <w:rsid w:val="18A40E67"/>
    <w:rsid w:val="18AD0F07"/>
    <w:rsid w:val="18F26F2D"/>
    <w:rsid w:val="199C4026"/>
    <w:rsid w:val="1A052E87"/>
    <w:rsid w:val="1A1141BE"/>
    <w:rsid w:val="1A221B86"/>
    <w:rsid w:val="1A33378E"/>
    <w:rsid w:val="1A49454A"/>
    <w:rsid w:val="1AC5340D"/>
    <w:rsid w:val="1AD5461F"/>
    <w:rsid w:val="1AE02AD5"/>
    <w:rsid w:val="1B202F4C"/>
    <w:rsid w:val="1B44359E"/>
    <w:rsid w:val="1B7B5E2F"/>
    <w:rsid w:val="1BF5781E"/>
    <w:rsid w:val="1BF8465C"/>
    <w:rsid w:val="1C2B504D"/>
    <w:rsid w:val="1C7669B3"/>
    <w:rsid w:val="1CB50004"/>
    <w:rsid w:val="1CB96758"/>
    <w:rsid w:val="1D8D16B1"/>
    <w:rsid w:val="1DB83696"/>
    <w:rsid w:val="1DC9678B"/>
    <w:rsid w:val="1E370005"/>
    <w:rsid w:val="1E557BBE"/>
    <w:rsid w:val="1E582F68"/>
    <w:rsid w:val="1E751225"/>
    <w:rsid w:val="1E9E6F23"/>
    <w:rsid w:val="1EAE3C81"/>
    <w:rsid w:val="1EAF6D23"/>
    <w:rsid w:val="1FD05F4B"/>
    <w:rsid w:val="200674D5"/>
    <w:rsid w:val="20AA4067"/>
    <w:rsid w:val="20AD7880"/>
    <w:rsid w:val="215E2AFC"/>
    <w:rsid w:val="21885DD7"/>
    <w:rsid w:val="21A82654"/>
    <w:rsid w:val="21F9422D"/>
    <w:rsid w:val="223073FC"/>
    <w:rsid w:val="233843CA"/>
    <w:rsid w:val="238A49D4"/>
    <w:rsid w:val="2391643B"/>
    <w:rsid w:val="239209FA"/>
    <w:rsid w:val="2398141E"/>
    <w:rsid w:val="23A506A6"/>
    <w:rsid w:val="23B81F3F"/>
    <w:rsid w:val="246F0739"/>
    <w:rsid w:val="24933EE3"/>
    <w:rsid w:val="249E4BA0"/>
    <w:rsid w:val="24A91877"/>
    <w:rsid w:val="2595640E"/>
    <w:rsid w:val="25DE13AE"/>
    <w:rsid w:val="25F26214"/>
    <w:rsid w:val="26350FA8"/>
    <w:rsid w:val="268E68AB"/>
    <w:rsid w:val="26C13C62"/>
    <w:rsid w:val="26FA03AE"/>
    <w:rsid w:val="275F7882"/>
    <w:rsid w:val="277405DB"/>
    <w:rsid w:val="27F16BC0"/>
    <w:rsid w:val="282B01D0"/>
    <w:rsid w:val="28342A24"/>
    <w:rsid w:val="28486846"/>
    <w:rsid w:val="28550344"/>
    <w:rsid w:val="28787486"/>
    <w:rsid w:val="28B575B8"/>
    <w:rsid w:val="296B2122"/>
    <w:rsid w:val="29916D12"/>
    <w:rsid w:val="29962BA0"/>
    <w:rsid w:val="299C545B"/>
    <w:rsid w:val="29B5554F"/>
    <w:rsid w:val="29DF549F"/>
    <w:rsid w:val="29E941DB"/>
    <w:rsid w:val="29EA73A3"/>
    <w:rsid w:val="2A31674E"/>
    <w:rsid w:val="2A5E448D"/>
    <w:rsid w:val="2A734928"/>
    <w:rsid w:val="2A7D5CC4"/>
    <w:rsid w:val="2AC2096A"/>
    <w:rsid w:val="2ACC647F"/>
    <w:rsid w:val="2AE15DBD"/>
    <w:rsid w:val="2B1C73D1"/>
    <w:rsid w:val="2B2F74A3"/>
    <w:rsid w:val="2B3E03B9"/>
    <w:rsid w:val="2B82503D"/>
    <w:rsid w:val="2B9F62A4"/>
    <w:rsid w:val="2BAE2A0F"/>
    <w:rsid w:val="2BD51FB3"/>
    <w:rsid w:val="2C21172F"/>
    <w:rsid w:val="2C9B1D6B"/>
    <w:rsid w:val="2CAC7A33"/>
    <w:rsid w:val="2CBB7BFE"/>
    <w:rsid w:val="2D067B76"/>
    <w:rsid w:val="2D094EB3"/>
    <w:rsid w:val="2D1B751B"/>
    <w:rsid w:val="2DB75AE7"/>
    <w:rsid w:val="2E343FFC"/>
    <w:rsid w:val="2E4B0AD5"/>
    <w:rsid w:val="2E8B7D8A"/>
    <w:rsid w:val="2EB96891"/>
    <w:rsid w:val="2F1A03FB"/>
    <w:rsid w:val="2F261C44"/>
    <w:rsid w:val="2F39631F"/>
    <w:rsid w:val="2F5931A8"/>
    <w:rsid w:val="2F5A5D1D"/>
    <w:rsid w:val="2F7B35D7"/>
    <w:rsid w:val="2FA408AC"/>
    <w:rsid w:val="2FE24F06"/>
    <w:rsid w:val="2FF47AB4"/>
    <w:rsid w:val="30436B1F"/>
    <w:rsid w:val="30A12AA2"/>
    <w:rsid w:val="30DB658A"/>
    <w:rsid w:val="31444F80"/>
    <w:rsid w:val="3168537D"/>
    <w:rsid w:val="318C3035"/>
    <w:rsid w:val="31B00176"/>
    <w:rsid w:val="31EA7344"/>
    <w:rsid w:val="326A1BF6"/>
    <w:rsid w:val="327071D8"/>
    <w:rsid w:val="333D5FAD"/>
    <w:rsid w:val="334A0DD9"/>
    <w:rsid w:val="33946877"/>
    <w:rsid w:val="33AF1B86"/>
    <w:rsid w:val="33F71158"/>
    <w:rsid w:val="34087BB8"/>
    <w:rsid w:val="34432B0F"/>
    <w:rsid w:val="34436A82"/>
    <w:rsid w:val="3455155C"/>
    <w:rsid w:val="34B04825"/>
    <w:rsid w:val="353F7C99"/>
    <w:rsid w:val="357D32D7"/>
    <w:rsid w:val="35974E95"/>
    <w:rsid w:val="35C832B5"/>
    <w:rsid w:val="35FA39F2"/>
    <w:rsid w:val="35FD3DF9"/>
    <w:rsid w:val="36023FCD"/>
    <w:rsid w:val="360F2C62"/>
    <w:rsid w:val="364D79F5"/>
    <w:rsid w:val="3663375C"/>
    <w:rsid w:val="36867C03"/>
    <w:rsid w:val="36B37B41"/>
    <w:rsid w:val="36C059CA"/>
    <w:rsid w:val="370A7BDA"/>
    <w:rsid w:val="378B38F2"/>
    <w:rsid w:val="37F33F7D"/>
    <w:rsid w:val="380910FA"/>
    <w:rsid w:val="38132C7D"/>
    <w:rsid w:val="38291E81"/>
    <w:rsid w:val="38680687"/>
    <w:rsid w:val="38D9012F"/>
    <w:rsid w:val="38ED732D"/>
    <w:rsid w:val="390924D6"/>
    <w:rsid w:val="395042CA"/>
    <w:rsid w:val="3A43165E"/>
    <w:rsid w:val="3A591AE8"/>
    <w:rsid w:val="3A88472A"/>
    <w:rsid w:val="3B552838"/>
    <w:rsid w:val="3B9C6B97"/>
    <w:rsid w:val="3BBD46A7"/>
    <w:rsid w:val="3C0510B6"/>
    <w:rsid w:val="3CC2042E"/>
    <w:rsid w:val="3DA96BE7"/>
    <w:rsid w:val="3DC6201B"/>
    <w:rsid w:val="3E083E98"/>
    <w:rsid w:val="3E2B74B0"/>
    <w:rsid w:val="3E4D4501"/>
    <w:rsid w:val="3EA10B3C"/>
    <w:rsid w:val="3EA15D77"/>
    <w:rsid w:val="3EC21B97"/>
    <w:rsid w:val="3F6F614E"/>
    <w:rsid w:val="3F7844CE"/>
    <w:rsid w:val="3FE5619B"/>
    <w:rsid w:val="3FF02A09"/>
    <w:rsid w:val="4013496E"/>
    <w:rsid w:val="405560C4"/>
    <w:rsid w:val="40F1167F"/>
    <w:rsid w:val="413A63E9"/>
    <w:rsid w:val="41E92B8F"/>
    <w:rsid w:val="427B2E99"/>
    <w:rsid w:val="429F2F24"/>
    <w:rsid w:val="42A000D6"/>
    <w:rsid w:val="42A77BDE"/>
    <w:rsid w:val="42D967F8"/>
    <w:rsid w:val="432A74A7"/>
    <w:rsid w:val="43EC03D9"/>
    <w:rsid w:val="44231E03"/>
    <w:rsid w:val="44340FA2"/>
    <w:rsid w:val="44AA5574"/>
    <w:rsid w:val="44E6456F"/>
    <w:rsid w:val="450575F9"/>
    <w:rsid w:val="45133A60"/>
    <w:rsid w:val="451B2148"/>
    <w:rsid w:val="458975B7"/>
    <w:rsid w:val="45CD2368"/>
    <w:rsid w:val="45F43CF7"/>
    <w:rsid w:val="46276823"/>
    <w:rsid w:val="46652ABE"/>
    <w:rsid w:val="46833B52"/>
    <w:rsid w:val="46891D1F"/>
    <w:rsid w:val="471F3684"/>
    <w:rsid w:val="473F78DB"/>
    <w:rsid w:val="47481ABF"/>
    <w:rsid w:val="474B0827"/>
    <w:rsid w:val="47C03AB0"/>
    <w:rsid w:val="47CD70FE"/>
    <w:rsid w:val="480F5CE0"/>
    <w:rsid w:val="48694575"/>
    <w:rsid w:val="48B51725"/>
    <w:rsid w:val="493B5338"/>
    <w:rsid w:val="49AE5056"/>
    <w:rsid w:val="49E01DEF"/>
    <w:rsid w:val="4A564660"/>
    <w:rsid w:val="4AE32531"/>
    <w:rsid w:val="4AE63AD2"/>
    <w:rsid w:val="4AEE418C"/>
    <w:rsid w:val="4B015533"/>
    <w:rsid w:val="4B2428FF"/>
    <w:rsid w:val="4B7F6F41"/>
    <w:rsid w:val="4B8F0721"/>
    <w:rsid w:val="4B9D41F7"/>
    <w:rsid w:val="4BE20829"/>
    <w:rsid w:val="4BFF3912"/>
    <w:rsid w:val="4C185AD0"/>
    <w:rsid w:val="4C9D788C"/>
    <w:rsid w:val="4CC05806"/>
    <w:rsid w:val="4CF55F5B"/>
    <w:rsid w:val="4D685DF0"/>
    <w:rsid w:val="4DBF4A0F"/>
    <w:rsid w:val="4DD82C75"/>
    <w:rsid w:val="4DFF2249"/>
    <w:rsid w:val="4E0D3F2D"/>
    <w:rsid w:val="4E521747"/>
    <w:rsid w:val="4E553327"/>
    <w:rsid w:val="4E557AAD"/>
    <w:rsid w:val="4E577B9E"/>
    <w:rsid w:val="4E605DF1"/>
    <w:rsid w:val="4E930700"/>
    <w:rsid w:val="4F1B62D2"/>
    <w:rsid w:val="4F225D67"/>
    <w:rsid w:val="4F8309EE"/>
    <w:rsid w:val="4FC20C70"/>
    <w:rsid w:val="50062517"/>
    <w:rsid w:val="50756FEE"/>
    <w:rsid w:val="507B0532"/>
    <w:rsid w:val="50C060F8"/>
    <w:rsid w:val="50C172E8"/>
    <w:rsid w:val="50DD2CB0"/>
    <w:rsid w:val="50DD2E20"/>
    <w:rsid w:val="50E56CC5"/>
    <w:rsid w:val="510811F8"/>
    <w:rsid w:val="513175A3"/>
    <w:rsid w:val="51722E98"/>
    <w:rsid w:val="51BB46A2"/>
    <w:rsid w:val="51F40FF8"/>
    <w:rsid w:val="526A629C"/>
    <w:rsid w:val="527D4ACE"/>
    <w:rsid w:val="52A0265A"/>
    <w:rsid w:val="52A4309A"/>
    <w:rsid w:val="52FD6A51"/>
    <w:rsid w:val="530E11BD"/>
    <w:rsid w:val="53874200"/>
    <w:rsid w:val="53D660C4"/>
    <w:rsid w:val="547A5BAF"/>
    <w:rsid w:val="54A02451"/>
    <w:rsid w:val="54CF2E67"/>
    <w:rsid w:val="54E750AD"/>
    <w:rsid w:val="54EF1CB5"/>
    <w:rsid w:val="55751E0A"/>
    <w:rsid w:val="562F0C0F"/>
    <w:rsid w:val="569B4686"/>
    <w:rsid w:val="56CB7E4D"/>
    <w:rsid w:val="56F474B3"/>
    <w:rsid w:val="57103FDA"/>
    <w:rsid w:val="5733320F"/>
    <w:rsid w:val="57425661"/>
    <w:rsid w:val="5749702A"/>
    <w:rsid w:val="579D137C"/>
    <w:rsid w:val="580670F5"/>
    <w:rsid w:val="58354DC4"/>
    <w:rsid w:val="58882FAF"/>
    <w:rsid w:val="589F4E1F"/>
    <w:rsid w:val="58BA3576"/>
    <w:rsid w:val="58C91BDD"/>
    <w:rsid w:val="58CA272B"/>
    <w:rsid w:val="58CB0094"/>
    <w:rsid w:val="58CC297D"/>
    <w:rsid w:val="590C0ABA"/>
    <w:rsid w:val="59273997"/>
    <w:rsid w:val="594F6518"/>
    <w:rsid w:val="597B2621"/>
    <w:rsid w:val="59E9379C"/>
    <w:rsid w:val="5A424394"/>
    <w:rsid w:val="5A837431"/>
    <w:rsid w:val="5A9B33D4"/>
    <w:rsid w:val="5AAD2F8E"/>
    <w:rsid w:val="5ABB2280"/>
    <w:rsid w:val="5AE07BFA"/>
    <w:rsid w:val="5AE3491F"/>
    <w:rsid w:val="5B4661C7"/>
    <w:rsid w:val="5B586DA1"/>
    <w:rsid w:val="5B7F70C3"/>
    <w:rsid w:val="5B880482"/>
    <w:rsid w:val="5BDB2C58"/>
    <w:rsid w:val="5BFE7E8C"/>
    <w:rsid w:val="5C685389"/>
    <w:rsid w:val="5C8F56D3"/>
    <w:rsid w:val="5C910E75"/>
    <w:rsid w:val="5CB017F9"/>
    <w:rsid w:val="5CD97ED4"/>
    <w:rsid w:val="5CE376F3"/>
    <w:rsid w:val="5CF00BF8"/>
    <w:rsid w:val="5D2741BA"/>
    <w:rsid w:val="5D2D447F"/>
    <w:rsid w:val="5D6964A0"/>
    <w:rsid w:val="5D6F18AF"/>
    <w:rsid w:val="5D91424A"/>
    <w:rsid w:val="5D982440"/>
    <w:rsid w:val="5DA36AC5"/>
    <w:rsid w:val="5DB64209"/>
    <w:rsid w:val="5DD8070A"/>
    <w:rsid w:val="5E2E051E"/>
    <w:rsid w:val="5E451983"/>
    <w:rsid w:val="5E4E06A4"/>
    <w:rsid w:val="5EAB24ED"/>
    <w:rsid w:val="5F173E21"/>
    <w:rsid w:val="5F1B3337"/>
    <w:rsid w:val="5F304D52"/>
    <w:rsid w:val="5F672246"/>
    <w:rsid w:val="5FF91FC7"/>
    <w:rsid w:val="603F4CF6"/>
    <w:rsid w:val="60474156"/>
    <w:rsid w:val="609A47A4"/>
    <w:rsid w:val="60A35EEB"/>
    <w:rsid w:val="611E6EDF"/>
    <w:rsid w:val="61245D65"/>
    <w:rsid w:val="6137198F"/>
    <w:rsid w:val="617A524C"/>
    <w:rsid w:val="61B87652"/>
    <w:rsid w:val="61D26DC6"/>
    <w:rsid w:val="620168A0"/>
    <w:rsid w:val="624A150C"/>
    <w:rsid w:val="62616134"/>
    <w:rsid w:val="627F4A03"/>
    <w:rsid w:val="62A26601"/>
    <w:rsid w:val="631F461E"/>
    <w:rsid w:val="63675BDB"/>
    <w:rsid w:val="63940D6F"/>
    <w:rsid w:val="63B37C9F"/>
    <w:rsid w:val="6422791F"/>
    <w:rsid w:val="643B4A92"/>
    <w:rsid w:val="64534DAE"/>
    <w:rsid w:val="64537CA6"/>
    <w:rsid w:val="646764E8"/>
    <w:rsid w:val="647B6BCD"/>
    <w:rsid w:val="65050BDD"/>
    <w:rsid w:val="65183464"/>
    <w:rsid w:val="653E422C"/>
    <w:rsid w:val="658065D6"/>
    <w:rsid w:val="65DD46E8"/>
    <w:rsid w:val="66500A70"/>
    <w:rsid w:val="666A5FCB"/>
    <w:rsid w:val="66855C09"/>
    <w:rsid w:val="66952C6F"/>
    <w:rsid w:val="66D834DA"/>
    <w:rsid w:val="66F75EF7"/>
    <w:rsid w:val="6792037B"/>
    <w:rsid w:val="67DB5367"/>
    <w:rsid w:val="6806055B"/>
    <w:rsid w:val="6807387E"/>
    <w:rsid w:val="68C9447A"/>
    <w:rsid w:val="68E143AD"/>
    <w:rsid w:val="69B67105"/>
    <w:rsid w:val="69E65658"/>
    <w:rsid w:val="69FB412E"/>
    <w:rsid w:val="6A4470E2"/>
    <w:rsid w:val="6A4C1F10"/>
    <w:rsid w:val="6A542569"/>
    <w:rsid w:val="6A9C56DD"/>
    <w:rsid w:val="6B3B6663"/>
    <w:rsid w:val="6B4C55FB"/>
    <w:rsid w:val="6B811826"/>
    <w:rsid w:val="6B85715C"/>
    <w:rsid w:val="6B8F3969"/>
    <w:rsid w:val="6BB33523"/>
    <w:rsid w:val="6BCE2DB4"/>
    <w:rsid w:val="6BCF1AF2"/>
    <w:rsid w:val="6BD12C27"/>
    <w:rsid w:val="6BF70375"/>
    <w:rsid w:val="6C081257"/>
    <w:rsid w:val="6C5F52AE"/>
    <w:rsid w:val="6CAE3269"/>
    <w:rsid w:val="6D76579C"/>
    <w:rsid w:val="6DC14BB0"/>
    <w:rsid w:val="6E0F614B"/>
    <w:rsid w:val="6E3B4A17"/>
    <w:rsid w:val="6E767991"/>
    <w:rsid w:val="6EA60C4E"/>
    <w:rsid w:val="6ED06441"/>
    <w:rsid w:val="6EFB6A9F"/>
    <w:rsid w:val="6F136CBA"/>
    <w:rsid w:val="6F1A085A"/>
    <w:rsid w:val="6F2538FF"/>
    <w:rsid w:val="6FA77375"/>
    <w:rsid w:val="701127CB"/>
    <w:rsid w:val="701D7BD6"/>
    <w:rsid w:val="7056586C"/>
    <w:rsid w:val="708460AC"/>
    <w:rsid w:val="70A208A9"/>
    <w:rsid w:val="70A9332A"/>
    <w:rsid w:val="70CD69AF"/>
    <w:rsid w:val="70F42513"/>
    <w:rsid w:val="71085A73"/>
    <w:rsid w:val="71321328"/>
    <w:rsid w:val="71687DE3"/>
    <w:rsid w:val="719F0E0A"/>
    <w:rsid w:val="71A969AF"/>
    <w:rsid w:val="71D551DA"/>
    <w:rsid w:val="71F5763B"/>
    <w:rsid w:val="722E40BD"/>
    <w:rsid w:val="72584273"/>
    <w:rsid w:val="7274751F"/>
    <w:rsid w:val="73700827"/>
    <w:rsid w:val="73F0745F"/>
    <w:rsid w:val="73F9636F"/>
    <w:rsid w:val="7406037E"/>
    <w:rsid w:val="745728F9"/>
    <w:rsid w:val="747461A0"/>
    <w:rsid w:val="74A71F46"/>
    <w:rsid w:val="74CB77AA"/>
    <w:rsid w:val="75092B54"/>
    <w:rsid w:val="750F5063"/>
    <w:rsid w:val="75264847"/>
    <w:rsid w:val="754E4141"/>
    <w:rsid w:val="75962A5C"/>
    <w:rsid w:val="759C3A71"/>
    <w:rsid w:val="75C27EC9"/>
    <w:rsid w:val="75C9165E"/>
    <w:rsid w:val="75DD1830"/>
    <w:rsid w:val="75E2471E"/>
    <w:rsid w:val="76146E33"/>
    <w:rsid w:val="7619253F"/>
    <w:rsid w:val="76197B72"/>
    <w:rsid w:val="779143EC"/>
    <w:rsid w:val="780C211D"/>
    <w:rsid w:val="78364DB8"/>
    <w:rsid w:val="789E6D5D"/>
    <w:rsid w:val="7901180E"/>
    <w:rsid w:val="791F24DA"/>
    <w:rsid w:val="797169D3"/>
    <w:rsid w:val="79B82BF8"/>
    <w:rsid w:val="79DC2093"/>
    <w:rsid w:val="7A1A6D78"/>
    <w:rsid w:val="7A1D3A68"/>
    <w:rsid w:val="7A3C6784"/>
    <w:rsid w:val="7A911989"/>
    <w:rsid w:val="7AA25C2E"/>
    <w:rsid w:val="7AA3022D"/>
    <w:rsid w:val="7AAE0584"/>
    <w:rsid w:val="7AD362AF"/>
    <w:rsid w:val="7AF11642"/>
    <w:rsid w:val="7B4C6B81"/>
    <w:rsid w:val="7B8E4C54"/>
    <w:rsid w:val="7B94715C"/>
    <w:rsid w:val="7BCA2F65"/>
    <w:rsid w:val="7BED1094"/>
    <w:rsid w:val="7BEE15C7"/>
    <w:rsid w:val="7C003089"/>
    <w:rsid w:val="7C1A20BD"/>
    <w:rsid w:val="7C2E3547"/>
    <w:rsid w:val="7C3D7003"/>
    <w:rsid w:val="7C782929"/>
    <w:rsid w:val="7C801934"/>
    <w:rsid w:val="7CB22D66"/>
    <w:rsid w:val="7CF86D1C"/>
    <w:rsid w:val="7D3F3F85"/>
    <w:rsid w:val="7D43664A"/>
    <w:rsid w:val="7D49686F"/>
    <w:rsid w:val="7D647AF7"/>
    <w:rsid w:val="7D6B25E5"/>
    <w:rsid w:val="7D7811BF"/>
    <w:rsid w:val="7E313D81"/>
    <w:rsid w:val="7E4254FE"/>
    <w:rsid w:val="7E536CD5"/>
    <w:rsid w:val="7EB32DB9"/>
    <w:rsid w:val="7ECB151D"/>
    <w:rsid w:val="7EF23C6E"/>
    <w:rsid w:val="7F331C4D"/>
    <w:rsid w:val="7F337DC2"/>
    <w:rsid w:val="7F8D6DAC"/>
    <w:rsid w:val="7FED06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1"/>
    <w:link w:val="20"/>
    <w:qFormat/>
    <w:uiPriority w:val="1"/>
    <w:pPr>
      <w:widowControl w:val="0"/>
      <w:autoSpaceDE w:val="0"/>
      <w:autoSpaceDN w:val="0"/>
      <w:adjustRightInd/>
      <w:snapToGrid/>
      <w:spacing w:after="0"/>
      <w:ind w:left="689" w:right="854"/>
      <w:jc w:val="center"/>
      <w:outlineLvl w:val="0"/>
    </w:pPr>
    <w:rPr>
      <w:rFonts w:ascii="Arial Unicode MS" w:hAnsi="Arial Unicode MS" w:eastAsia="Arial Unicode MS" w:cs="Arial Unicode MS"/>
      <w:sz w:val="44"/>
      <w:szCs w:val="44"/>
      <w:lang w:val="zh-CN" w:bidi="zh-CN"/>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99"/>
  </w:style>
  <w:style w:type="paragraph" w:styleId="4">
    <w:name w:val="Body Text"/>
    <w:basedOn w:val="1"/>
    <w:qFormat/>
    <w:uiPriority w:val="1"/>
    <w:pPr>
      <w:ind w:left="228"/>
    </w:pPr>
    <w:rPr>
      <w:rFonts w:ascii="宋体" w:hAnsi="宋体" w:eastAsia="宋体" w:cs="宋体"/>
      <w:sz w:val="32"/>
      <w:szCs w:val="32"/>
      <w:lang w:val="zh-CN" w:bidi="zh-CN"/>
    </w:rPr>
  </w:style>
  <w:style w:type="paragraph" w:styleId="5">
    <w:name w:val="Date"/>
    <w:basedOn w:val="1"/>
    <w:next w:val="1"/>
    <w:link w:val="19"/>
    <w:semiHidden/>
    <w:unhideWhenUsed/>
    <w:qFormat/>
    <w:uiPriority w:val="99"/>
    <w:pPr>
      <w:ind w:left="100" w:leftChars="2500"/>
    </w:pPr>
  </w:style>
  <w:style w:type="paragraph" w:styleId="6">
    <w:name w:val="Balloon Text"/>
    <w:basedOn w:val="1"/>
    <w:link w:val="21"/>
    <w:semiHidden/>
    <w:unhideWhenUsed/>
    <w:qFormat/>
    <w:uiPriority w:val="99"/>
    <w:pPr>
      <w:spacing w:after="0"/>
    </w:pPr>
    <w:rPr>
      <w:sz w:val="18"/>
      <w:szCs w:val="18"/>
    </w:rPr>
  </w:style>
  <w:style w:type="paragraph" w:styleId="7">
    <w:name w:val="footer"/>
    <w:basedOn w:val="1"/>
    <w:link w:val="17"/>
    <w:unhideWhenUsed/>
    <w:qFormat/>
    <w:uiPriority w:val="99"/>
    <w:pPr>
      <w:tabs>
        <w:tab w:val="center" w:pos="4153"/>
        <w:tab w:val="right" w:pos="8306"/>
      </w:tabs>
    </w:pPr>
    <w:rPr>
      <w:sz w:val="18"/>
      <w:szCs w:val="18"/>
    </w:rPr>
  </w:style>
  <w:style w:type="paragraph" w:styleId="8">
    <w:name w:val="header"/>
    <w:basedOn w:val="1"/>
    <w:link w:val="16"/>
    <w:unhideWhenUsed/>
    <w:qFormat/>
    <w:uiPriority w:val="99"/>
    <w:pPr>
      <w:pBdr>
        <w:bottom w:val="single" w:color="auto" w:sz="6" w:space="1"/>
      </w:pBdr>
      <w:tabs>
        <w:tab w:val="center" w:pos="4153"/>
        <w:tab w:val="right" w:pos="8306"/>
      </w:tabs>
      <w:jc w:val="center"/>
    </w:pPr>
    <w:rPr>
      <w:sz w:val="18"/>
      <w:szCs w:val="18"/>
    </w:rPr>
  </w:style>
  <w:style w:type="paragraph" w:styleId="9">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Strong"/>
    <w:basedOn w:val="12"/>
    <w:qFormat/>
    <w:uiPriority w:val="22"/>
    <w:rPr>
      <w:b/>
      <w:bCs/>
    </w:rPr>
  </w:style>
  <w:style w:type="character" w:styleId="14">
    <w:name w:val="Hyperlink"/>
    <w:basedOn w:val="12"/>
    <w:unhideWhenUsed/>
    <w:qFormat/>
    <w:uiPriority w:val="99"/>
    <w:rPr>
      <w:color w:val="0000FF"/>
      <w:u w:val="single"/>
    </w:rPr>
  </w:style>
  <w:style w:type="paragraph" w:styleId="15">
    <w:name w:val="List Paragraph"/>
    <w:basedOn w:val="1"/>
    <w:qFormat/>
    <w:uiPriority w:val="1"/>
    <w:pPr>
      <w:ind w:firstLine="420" w:firstLineChars="200"/>
    </w:pPr>
  </w:style>
  <w:style w:type="character" w:customStyle="1" w:styleId="16">
    <w:name w:val="页眉 Char"/>
    <w:basedOn w:val="12"/>
    <w:link w:val="8"/>
    <w:qFormat/>
    <w:uiPriority w:val="99"/>
    <w:rPr>
      <w:rFonts w:ascii="Tahoma" w:hAnsi="Tahoma" w:eastAsia="微软雅黑" w:cstheme="minorBidi"/>
      <w:sz w:val="18"/>
      <w:szCs w:val="18"/>
    </w:rPr>
  </w:style>
  <w:style w:type="character" w:customStyle="1" w:styleId="17">
    <w:name w:val="页脚 Char"/>
    <w:basedOn w:val="12"/>
    <w:link w:val="7"/>
    <w:qFormat/>
    <w:uiPriority w:val="99"/>
    <w:rPr>
      <w:rFonts w:ascii="Tahoma" w:hAnsi="Tahoma" w:eastAsia="微软雅黑" w:cstheme="minorBidi"/>
      <w:sz w:val="18"/>
      <w:szCs w:val="18"/>
    </w:rPr>
  </w:style>
  <w:style w:type="paragraph" w:customStyle="1" w:styleId="18">
    <w:name w:val="Table Paragraph"/>
    <w:basedOn w:val="1"/>
    <w:qFormat/>
    <w:uiPriority w:val="1"/>
    <w:pPr>
      <w:spacing w:before="145"/>
      <w:jc w:val="center"/>
    </w:pPr>
    <w:rPr>
      <w:rFonts w:ascii="宋体" w:hAnsi="宋体" w:eastAsia="宋体" w:cs="宋体"/>
      <w:lang w:val="zh-CN" w:bidi="zh-CN"/>
    </w:rPr>
  </w:style>
  <w:style w:type="character" w:customStyle="1" w:styleId="19">
    <w:name w:val="日期 Char"/>
    <w:basedOn w:val="12"/>
    <w:link w:val="5"/>
    <w:semiHidden/>
    <w:qFormat/>
    <w:uiPriority w:val="99"/>
    <w:rPr>
      <w:rFonts w:ascii="Tahoma" w:hAnsi="Tahoma" w:eastAsia="微软雅黑" w:cstheme="minorBidi"/>
      <w:sz w:val="22"/>
      <w:szCs w:val="22"/>
    </w:rPr>
  </w:style>
  <w:style w:type="character" w:customStyle="1" w:styleId="20">
    <w:name w:val="标题 1 Char"/>
    <w:basedOn w:val="12"/>
    <w:link w:val="2"/>
    <w:qFormat/>
    <w:uiPriority w:val="1"/>
    <w:rPr>
      <w:rFonts w:ascii="Arial Unicode MS" w:hAnsi="Arial Unicode MS" w:eastAsia="Arial Unicode MS" w:cs="Arial Unicode MS"/>
      <w:sz w:val="44"/>
      <w:szCs w:val="44"/>
      <w:lang w:val="zh-CN" w:bidi="zh-CN"/>
    </w:rPr>
  </w:style>
  <w:style w:type="character" w:customStyle="1" w:styleId="21">
    <w:name w:val="批注框文本 Char"/>
    <w:basedOn w:val="12"/>
    <w:link w:val="6"/>
    <w:semiHidden/>
    <w:qFormat/>
    <w:uiPriority w:val="99"/>
    <w:rPr>
      <w:rFonts w:ascii="Tahoma" w:hAnsi="Tahoma" w:eastAsia="微软雅黑" w:cstheme="minorBid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6076</Words>
  <Characters>6440</Characters>
  <Lines>49</Lines>
  <Paragraphs>14</Paragraphs>
  <TotalTime>17</TotalTime>
  <ScaleCrop>false</ScaleCrop>
  <LinksUpToDate>false</LinksUpToDate>
  <CharactersWithSpaces>6517</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2020-09-26T10:45:00Z</dcterms:created>
  <dc:creator>Administrator</dc:creator>
  <cp:lastModifiedBy>清水依莲</cp:lastModifiedBy>
  <cp:lastPrinted>2021-09-13T02:09:00Z</cp:lastPrinted>
  <dcterms:modified xsi:type="dcterms:W3CDTF">2021-09-13T13:00:52Z</dcterms:modified>
  <cp:revision>114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6929AC23B8784482961346B7F9CAC0DB</vt:lpwstr>
  </property>
</Properties>
</file>