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b/>
          <w:bCs/>
          <w:sz w:val="36"/>
          <w:szCs w:val="36"/>
        </w:rPr>
      </w:pPr>
      <w:r>
        <w:rPr>
          <w:rFonts w:hint="eastAsia" w:ascii="宋体" w:hAnsi="宋体"/>
          <w:b/>
          <w:bCs/>
          <w:sz w:val="36"/>
          <w:szCs w:val="36"/>
        </w:rPr>
        <w:t>环境与市政工程学院</w:t>
      </w:r>
      <w:r>
        <w:rPr>
          <w:rFonts w:ascii="宋体" w:hAnsi="宋体"/>
          <w:b/>
          <w:bCs/>
          <w:sz w:val="36"/>
          <w:szCs w:val="36"/>
        </w:rPr>
        <w:t>推荐优秀应届本科毕业生</w:t>
      </w:r>
    </w:p>
    <w:p>
      <w:pPr>
        <w:adjustRightInd w:val="0"/>
        <w:snapToGrid w:val="0"/>
        <w:spacing w:line="480" w:lineRule="exact"/>
        <w:jc w:val="center"/>
        <w:rPr>
          <w:rFonts w:ascii="宋体" w:hAnsi="宋体"/>
          <w:b/>
          <w:bCs/>
          <w:sz w:val="36"/>
          <w:szCs w:val="36"/>
        </w:rPr>
      </w:pPr>
      <w:r>
        <w:rPr>
          <w:rFonts w:ascii="宋体" w:hAnsi="宋体"/>
          <w:b/>
          <w:bCs/>
          <w:sz w:val="36"/>
          <w:szCs w:val="36"/>
        </w:rPr>
        <w:t>免试攻读硕士学位研究生工作</w:t>
      </w:r>
      <w:r>
        <w:rPr>
          <w:rFonts w:hint="eastAsia" w:ascii="宋体" w:hAnsi="宋体"/>
          <w:b/>
          <w:bCs/>
          <w:sz w:val="36"/>
          <w:szCs w:val="36"/>
        </w:rPr>
        <w:t>细则</w:t>
      </w:r>
    </w:p>
    <w:p>
      <w:pPr>
        <w:adjustRightInd w:val="0"/>
        <w:snapToGrid w:val="0"/>
        <w:spacing w:line="480" w:lineRule="exact"/>
        <w:ind w:firstLine="560" w:firstLineChars="200"/>
        <w:jc w:val="left"/>
        <w:rPr>
          <w:rFonts w:ascii="仿宋" w:hAnsi="仿宋" w:eastAsia="仿宋"/>
          <w:sz w:val="28"/>
          <w:szCs w:val="28"/>
        </w:rPr>
      </w:pP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推荐优秀应届本科毕业生免试攻读研究生（以下简称推免生）制度，是我国硕士研究生招生制度的重要组成部分，是激励广大在校学生勤奋学习、积极创新、全面发展的有效措施，是提高研究生选拔质量，培养创新拔尖人才的重要保证。为了做好我</w:t>
      </w:r>
      <w:r>
        <w:rPr>
          <w:rFonts w:hint="eastAsia" w:ascii="仿宋" w:hAnsi="仿宋" w:eastAsia="仿宋"/>
          <w:sz w:val="28"/>
          <w:szCs w:val="28"/>
        </w:rPr>
        <w:t>院</w:t>
      </w:r>
      <w:r>
        <w:rPr>
          <w:rFonts w:ascii="仿宋" w:hAnsi="仿宋" w:eastAsia="仿宋"/>
          <w:sz w:val="28"/>
          <w:szCs w:val="28"/>
        </w:rPr>
        <w:t>推免生工作，根据</w:t>
      </w:r>
      <w:r>
        <w:rPr>
          <w:rFonts w:hint="eastAsia" w:ascii="仿宋" w:hAnsi="仿宋" w:eastAsia="仿宋" w:cs="仿宋"/>
          <w:sz w:val="32"/>
          <w:szCs w:val="32"/>
        </w:rPr>
        <w:t>根据《关于进一步规范和加强推荐优秀应届本科毕业生免试攻读研究生工作的通知》、《青岛理工大学推荐优秀应届本科毕业生免试攻读研究生工作实施办法》（青理工校发〔2021〕33 号）等文件要求</w:t>
      </w:r>
      <w:r>
        <w:rPr>
          <w:rFonts w:ascii="仿宋" w:hAnsi="仿宋" w:eastAsia="仿宋"/>
          <w:sz w:val="28"/>
          <w:szCs w:val="28"/>
        </w:rPr>
        <w:t>，结合</w:t>
      </w:r>
      <w:r>
        <w:rPr>
          <w:rFonts w:hint="eastAsia" w:ascii="仿宋" w:hAnsi="仿宋" w:eastAsia="仿宋"/>
          <w:sz w:val="28"/>
          <w:szCs w:val="28"/>
        </w:rPr>
        <w:t>本学院</w:t>
      </w:r>
      <w:r>
        <w:rPr>
          <w:rFonts w:ascii="仿宋" w:hAnsi="仿宋" w:eastAsia="仿宋"/>
          <w:sz w:val="28"/>
          <w:szCs w:val="28"/>
        </w:rPr>
        <w:t>实际，制定本实施</w:t>
      </w:r>
      <w:r>
        <w:rPr>
          <w:rFonts w:hint="eastAsia" w:ascii="仿宋" w:hAnsi="仿宋" w:eastAsia="仿宋"/>
          <w:sz w:val="28"/>
          <w:szCs w:val="28"/>
        </w:rPr>
        <w:t>细则</w:t>
      </w:r>
      <w:r>
        <w:rPr>
          <w:rFonts w:ascii="仿宋" w:hAnsi="仿宋" w:eastAsia="仿宋"/>
          <w:sz w:val="28"/>
          <w:szCs w:val="28"/>
        </w:rPr>
        <w:t>。</w:t>
      </w:r>
    </w:p>
    <w:p>
      <w:pPr>
        <w:adjustRightInd w:val="0"/>
        <w:snapToGrid w:val="0"/>
        <w:spacing w:beforeLines="50" w:afterLines="50" w:line="480" w:lineRule="exact"/>
        <w:ind w:firstLine="562" w:firstLineChars="200"/>
        <w:rPr>
          <w:rFonts w:ascii="黑体" w:hAnsi="黑体" w:eastAsia="黑体"/>
          <w:b/>
          <w:sz w:val="28"/>
          <w:szCs w:val="28"/>
        </w:rPr>
      </w:pPr>
      <w:r>
        <w:rPr>
          <w:rFonts w:ascii="黑体" w:hAnsi="黑体" w:eastAsia="黑体"/>
          <w:b/>
          <w:sz w:val="28"/>
          <w:szCs w:val="28"/>
        </w:rPr>
        <w:t>一、组织领导</w:t>
      </w:r>
      <w:r>
        <w:rPr>
          <w:rFonts w:hint="eastAsia" w:ascii="黑体" w:hAnsi="黑体" w:eastAsia="黑体"/>
          <w:b/>
          <w:sz w:val="28"/>
          <w:szCs w:val="28"/>
        </w:rPr>
        <w:t>及推荐原则</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学</w:t>
      </w:r>
      <w:r>
        <w:rPr>
          <w:rFonts w:hint="eastAsia" w:ascii="仿宋" w:hAnsi="仿宋" w:eastAsia="仿宋"/>
          <w:sz w:val="28"/>
          <w:szCs w:val="28"/>
        </w:rPr>
        <w:t>院</w:t>
      </w:r>
      <w:r>
        <w:rPr>
          <w:rFonts w:ascii="仿宋" w:hAnsi="仿宋" w:eastAsia="仿宋"/>
          <w:sz w:val="28"/>
          <w:szCs w:val="28"/>
        </w:rPr>
        <w:t>成立推免生遴选工作小组，具体</w:t>
      </w:r>
      <w:r>
        <w:rPr>
          <w:rFonts w:hint="eastAsia" w:ascii="仿宋" w:hAnsi="仿宋" w:eastAsia="仿宋"/>
          <w:sz w:val="28"/>
          <w:szCs w:val="28"/>
        </w:rPr>
        <w:t>如下：</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 xml:space="preserve">组  长：毕学军  马  莉      </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副</w:t>
      </w:r>
      <w:r>
        <w:rPr>
          <w:rFonts w:ascii="仿宋" w:hAnsi="仿宋" w:eastAsia="仿宋"/>
          <w:sz w:val="28"/>
          <w:szCs w:val="28"/>
        </w:rPr>
        <w:t>组长：</w:t>
      </w:r>
      <w:r>
        <w:rPr>
          <w:rFonts w:hint="eastAsia" w:ascii="仿宋" w:hAnsi="仿宋" w:eastAsia="仿宋"/>
          <w:sz w:val="28"/>
          <w:szCs w:val="28"/>
        </w:rPr>
        <w:t>李</w:t>
      </w:r>
      <w:r>
        <w:rPr>
          <w:rFonts w:ascii="仿宋" w:hAnsi="仿宋" w:eastAsia="仿宋"/>
          <w:sz w:val="28"/>
          <w:szCs w:val="28"/>
        </w:rPr>
        <w:t>金成</w:t>
      </w:r>
      <w:r>
        <w:rPr>
          <w:rFonts w:hint="eastAsia" w:ascii="仿宋" w:hAnsi="仿宋" w:eastAsia="仿宋"/>
          <w:sz w:val="28"/>
          <w:szCs w:val="28"/>
        </w:rPr>
        <w:t xml:space="preserve">  刘</w:t>
      </w:r>
      <w:r>
        <w:rPr>
          <w:rFonts w:ascii="仿宋" w:hAnsi="仿宋" w:eastAsia="仿宋"/>
          <w:sz w:val="28"/>
          <w:szCs w:val="28"/>
        </w:rPr>
        <w:t>长青</w:t>
      </w:r>
      <w:r>
        <w:rPr>
          <w:rFonts w:hint="eastAsia" w:ascii="仿宋" w:hAnsi="仿宋" w:eastAsia="仿宋"/>
          <w:sz w:val="28"/>
          <w:szCs w:val="28"/>
        </w:rPr>
        <w:t xml:space="preserve">  隋学智</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成  员：孙</w:t>
      </w:r>
      <w:r>
        <w:rPr>
          <w:rFonts w:ascii="仿宋" w:hAnsi="仿宋" w:eastAsia="仿宋"/>
          <w:sz w:val="28"/>
          <w:szCs w:val="28"/>
        </w:rPr>
        <w:t>英杰</w:t>
      </w:r>
      <w:r>
        <w:rPr>
          <w:rFonts w:hint="eastAsia" w:ascii="仿宋" w:hAnsi="仿宋" w:eastAsia="仿宋"/>
          <w:sz w:val="28"/>
          <w:szCs w:val="28"/>
        </w:rPr>
        <w:t xml:space="preserve">  马继</w:t>
      </w:r>
      <w:r>
        <w:rPr>
          <w:rFonts w:ascii="仿宋" w:hAnsi="仿宋" w:eastAsia="仿宋"/>
          <w:sz w:val="28"/>
          <w:szCs w:val="28"/>
        </w:rPr>
        <w:t>平</w:t>
      </w:r>
      <w:r>
        <w:rPr>
          <w:rFonts w:hint="eastAsia" w:ascii="仿宋" w:hAnsi="仿宋" w:eastAsia="仿宋"/>
          <w:sz w:val="28"/>
          <w:szCs w:val="28"/>
        </w:rPr>
        <w:t xml:space="preserve">  郭健翔  陈  栋  王海英  花会娟</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以习近平新时代中国特色社会主义思想为指导，落实立德树人根本任务，坚持德智体美全面衡量，以德为先，全面考查、综合评价、择优选拔。既注重学生学习成绩、一贯表现，也强化对科研创新潜质和专业素质能力的考核。</w:t>
      </w:r>
    </w:p>
    <w:p>
      <w:pPr>
        <w:adjustRightInd w:val="0"/>
        <w:snapToGrid w:val="0"/>
        <w:spacing w:beforeLines="50" w:afterLines="50" w:line="480" w:lineRule="exact"/>
        <w:ind w:firstLine="562" w:firstLineChars="200"/>
        <w:rPr>
          <w:rFonts w:ascii="黑体" w:hAnsi="黑体" w:eastAsia="黑体"/>
          <w:b/>
          <w:sz w:val="28"/>
          <w:szCs w:val="28"/>
        </w:rPr>
      </w:pPr>
      <w:r>
        <w:rPr>
          <w:rFonts w:ascii="黑体" w:hAnsi="黑体" w:eastAsia="黑体"/>
          <w:b/>
          <w:sz w:val="28"/>
          <w:szCs w:val="28"/>
        </w:rPr>
        <w:t>二、推免指标分配</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022</w:t>
      </w:r>
      <w:r>
        <w:rPr>
          <w:rFonts w:hint="eastAsia" w:ascii="仿宋" w:hAnsi="仿宋" w:eastAsia="仿宋"/>
          <w:sz w:val="28"/>
          <w:szCs w:val="28"/>
        </w:rPr>
        <w:t>年学院</w:t>
      </w:r>
      <w:r>
        <w:rPr>
          <w:rFonts w:ascii="仿宋" w:hAnsi="仿宋" w:eastAsia="仿宋"/>
          <w:sz w:val="28"/>
          <w:szCs w:val="28"/>
        </w:rPr>
        <w:t>有</w:t>
      </w:r>
      <w:r>
        <w:rPr>
          <w:rFonts w:hint="eastAsia" w:ascii="仿宋" w:hAnsi="仿宋" w:eastAsia="仿宋"/>
          <w:sz w:val="28"/>
          <w:szCs w:val="28"/>
        </w:rPr>
        <w:t>推免</w:t>
      </w:r>
      <w:r>
        <w:rPr>
          <w:rFonts w:ascii="仿宋" w:hAnsi="仿宋" w:eastAsia="仿宋"/>
          <w:sz w:val="28"/>
          <w:szCs w:val="28"/>
        </w:rPr>
        <w:t>生名额17</w:t>
      </w:r>
      <w:r>
        <w:rPr>
          <w:rFonts w:hint="eastAsia" w:ascii="仿宋" w:hAnsi="仿宋" w:eastAsia="仿宋"/>
          <w:sz w:val="28"/>
          <w:szCs w:val="28"/>
        </w:rPr>
        <w:t>名</w:t>
      </w:r>
      <w:r>
        <w:rPr>
          <w:rFonts w:ascii="仿宋" w:hAnsi="仿宋" w:eastAsia="仿宋"/>
          <w:sz w:val="28"/>
          <w:szCs w:val="28"/>
        </w:rPr>
        <w:t>。根据</w:t>
      </w:r>
      <w:r>
        <w:rPr>
          <w:rFonts w:hint="eastAsia" w:ascii="仿宋" w:hAnsi="仿宋" w:eastAsia="仿宋"/>
          <w:sz w:val="28"/>
          <w:szCs w:val="28"/>
        </w:rPr>
        <w:t>学校有关推免名额的计算办法及原则</w:t>
      </w:r>
      <w:r>
        <w:rPr>
          <w:rFonts w:ascii="仿宋" w:hAnsi="仿宋" w:eastAsia="仿宋"/>
          <w:sz w:val="28"/>
          <w:szCs w:val="28"/>
        </w:rPr>
        <w:t>，</w:t>
      </w:r>
      <w:r>
        <w:rPr>
          <w:rFonts w:hint="eastAsia" w:ascii="仿宋" w:hAnsi="仿宋" w:eastAsia="仿宋"/>
          <w:sz w:val="28"/>
          <w:szCs w:val="28"/>
        </w:rPr>
        <w:t>经学院推免生遴选工作小组集体研究决定，</w:t>
      </w:r>
      <w:r>
        <w:rPr>
          <w:rFonts w:ascii="仿宋" w:hAnsi="仿宋" w:eastAsia="仿宋"/>
          <w:sz w:val="28"/>
          <w:szCs w:val="28"/>
        </w:rPr>
        <w:t>各专业推</w:t>
      </w:r>
      <w:r>
        <w:rPr>
          <w:rFonts w:hint="eastAsia" w:ascii="仿宋" w:hAnsi="仿宋" w:eastAsia="仿宋"/>
          <w:sz w:val="28"/>
          <w:szCs w:val="28"/>
        </w:rPr>
        <w:t>免</w:t>
      </w:r>
      <w:r>
        <w:rPr>
          <w:rFonts w:ascii="仿宋" w:hAnsi="仿宋" w:eastAsia="仿宋"/>
          <w:sz w:val="28"/>
          <w:szCs w:val="28"/>
        </w:rPr>
        <w:t>生名额分别为：</w:t>
      </w:r>
      <w:r>
        <w:rPr>
          <w:rFonts w:hint="eastAsia" w:ascii="仿宋" w:hAnsi="仿宋" w:eastAsia="仿宋"/>
          <w:sz w:val="28"/>
          <w:szCs w:val="28"/>
        </w:rPr>
        <w:t>给排</w:t>
      </w:r>
      <w:r>
        <w:rPr>
          <w:rFonts w:ascii="仿宋" w:hAnsi="仿宋" w:eastAsia="仿宋"/>
          <w:sz w:val="28"/>
          <w:szCs w:val="28"/>
        </w:rPr>
        <w:t>水科学与工程</w:t>
      </w:r>
      <w:r>
        <w:rPr>
          <w:rFonts w:hint="eastAsia" w:ascii="仿宋" w:hAnsi="仿宋" w:eastAsia="仿宋"/>
          <w:sz w:val="28"/>
          <w:szCs w:val="28"/>
        </w:rPr>
        <w:t>专业5名；</w:t>
      </w:r>
      <w:r>
        <w:rPr>
          <w:rFonts w:ascii="仿宋" w:hAnsi="仿宋" w:eastAsia="仿宋"/>
          <w:sz w:val="28"/>
          <w:szCs w:val="28"/>
        </w:rPr>
        <w:t>建筑环境与能源应用工程专业</w:t>
      </w:r>
      <w:r>
        <w:rPr>
          <w:rFonts w:hint="eastAsia" w:ascii="仿宋" w:hAnsi="仿宋" w:eastAsia="仿宋"/>
          <w:sz w:val="28"/>
          <w:szCs w:val="28"/>
        </w:rPr>
        <w:t>5名；环境</w:t>
      </w:r>
      <w:r>
        <w:rPr>
          <w:rFonts w:ascii="仿宋" w:hAnsi="仿宋" w:eastAsia="仿宋"/>
          <w:sz w:val="28"/>
          <w:szCs w:val="28"/>
        </w:rPr>
        <w:t>工程</w:t>
      </w:r>
      <w:r>
        <w:rPr>
          <w:rFonts w:hint="eastAsia" w:ascii="仿宋" w:hAnsi="仿宋" w:eastAsia="仿宋"/>
          <w:sz w:val="28"/>
          <w:szCs w:val="28"/>
        </w:rPr>
        <w:t>专业3名；</w:t>
      </w:r>
      <w:r>
        <w:rPr>
          <w:rFonts w:ascii="仿宋" w:hAnsi="仿宋" w:eastAsia="仿宋"/>
          <w:sz w:val="28"/>
          <w:szCs w:val="28"/>
        </w:rPr>
        <w:t>环境科学专业</w:t>
      </w:r>
      <w:r>
        <w:rPr>
          <w:rFonts w:hint="eastAsia" w:ascii="仿宋" w:hAnsi="仿宋" w:eastAsia="仿宋"/>
          <w:sz w:val="28"/>
          <w:szCs w:val="28"/>
        </w:rPr>
        <w:t>2名；</w:t>
      </w:r>
      <w:r>
        <w:rPr>
          <w:rFonts w:ascii="仿宋" w:hAnsi="仿宋" w:eastAsia="仿宋"/>
          <w:sz w:val="28"/>
          <w:szCs w:val="28"/>
        </w:rPr>
        <w:t>能源与动力工程专业2</w:t>
      </w:r>
      <w:r>
        <w:rPr>
          <w:rFonts w:hint="eastAsia" w:ascii="仿宋" w:hAnsi="仿宋" w:eastAsia="仿宋"/>
          <w:sz w:val="28"/>
          <w:szCs w:val="28"/>
        </w:rPr>
        <w:t>名。</w:t>
      </w:r>
    </w:p>
    <w:p>
      <w:pPr>
        <w:adjustRightInd w:val="0"/>
        <w:snapToGrid w:val="0"/>
        <w:spacing w:beforeLines="50" w:afterLines="50" w:line="480" w:lineRule="exact"/>
        <w:ind w:firstLine="562" w:firstLineChars="200"/>
        <w:rPr>
          <w:rFonts w:ascii="黑体" w:hAnsi="黑体" w:eastAsia="黑体"/>
          <w:b/>
          <w:sz w:val="28"/>
          <w:szCs w:val="28"/>
        </w:rPr>
      </w:pPr>
      <w:r>
        <w:rPr>
          <w:rFonts w:ascii="黑体" w:hAnsi="黑体" w:eastAsia="黑体"/>
          <w:b/>
          <w:sz w:val="28"/>
          <w:szCs w:val="28"/>
        </w:rPr>
        <w:t>三、推免工作</w:t>
      </w:r>
    </w:p>
    <w:p>
      <w:pPr>
        <w:adjustRightInd w:val="0"/>
        <w:snapToGrid w:val="0"/>
        <w:spacing w:line="480" w:lineRule="exact"/>
        <w:ind w:firstLine="562" w:firstLineChars="200"/>
        <w:rPr>
          <w:rFonts w:ascii="仿宋" w:hAnsi="仿宋" w:eastAsia="仿宋"/>
          <w:b/>
          <w:sz w:val="28"/>
          <w:szCs w:val="28"/>
        </w:rPr>
      </w:pPr>
      <w:r>
        <w:rPr>
          <w:rFonts w:hint="eastAsia" w:ascii="仿宋" w:hAnsi="仿宋" w:eastAsia="仿宋"/>
          <w:b/>
          <w:sz w:val="28"/>
          <w:szCs w:val="28"/>
        </w:rPr>
        <w:t>（一）推免</w:t>
      </w:r>
      <w:r>
        <w:rPr>
          <w:rFonts w:ascii="仿宋" w:hAnsi="仿宋" w:eastAsia="仿宋"/>
          <w:b/>
          <w:sz w:val="28"/>
          <w:szCs w:val="28"/>
        </w:rPr>
        <w:t>生申请条件</w:t>
      </w:r>
    </w:p>
    <w:p>
      <w:pPr>
        <w:adjustRightInd w:val="0"/>
        <w:snapToGrid w:val="0"/>
        <w:spacing w:line="480" w:lineRule="exact"/>
        <w:ind w:firstLine="562" w:firstLineChars="200"/>
        <w:rPr>
          <w:rFonts w:ascii="仿宋" w:hAnsi="仿宋" w:eastAsia="仿宋"/>
          <w:b/>
          <w:sz w:val="28"/>
          <w:szCs w:val="28"/>
        </w:rPr>
      </w:pPr>
      <w:r>
        <w:rPr>
          <w:rFonts w:hint="eastAsia" w:ascii="仿宋" w:hAnsi="仿宋" w:eastAsia="仿宋"/>
          <w:b/>
          <w:sz w:val="28"/>
          <w:szCs w:val="28"/>
        </w:rPr>
        <w:t>1. 基本条件</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（1）拥护中国共产党的领导，社会主义信念坚定，具有高尚的爱国主义情操和集体主义精神，思想品德考核合格（不合格者不予推荐）。</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（2）国家普通本科招生计划录取的应届毕业生（不含专升本、第二学士学位、独立学院学生）。</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（3）勤奋学习，善于钻研，成绩优秀，学术研究兴趣浓厚，有较强的创新意识、创新能力和专业能力。</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（4）诚实守信、学风端正，无任何考试作弊、剽窃他人学术成果记录，无任何违法违纪受处分记录。</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（5）社会责任感强，遵纪守法，品行优良，积极向上。</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（6）身心健康达到研究生入学健康标准要求。</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7</w:t>
      </w:r>
      <w:r>
        <w:rPr>
          <w:rFonts w:hint="eastAsia" w:ascii="仿宋" w:hAnsi="仿宋" w:eastAsia="仿宋"/>
          <w:sz w:val="28"/>
          <w:szCs w:val="28"/>
        </w:rPr>
        <w:t>）在校学习期间，前 6 个学期学习总成绩（含课程设计、实习等）的平均学分绩点在本专业排名前 30%（含)，如学院排名前 30%总人数低于推免指标人数，可按排名依次顺延。</w:t>
      </w:r>
    </w:p>
    <w:p>
      <w:pPr>
        <w:adjustRightInd w:val="0"/>
        <w:snapToGrid w:val="0"/>
        <w:spacing w:line="480" w:lineRule="exact"/>
        <w:ind w:firstLine="562" w:firstLineChars="200"/>
        <w:rPr>
          <w:rFonts w:ascii="仿宋" w:hAnsi="仿宋" w:eastAsia="仿宋"/>
          <w:b/>
          <w:sz w:val="28"/>
          <w:szCs w:val="28"/>
        </w:rPr>
      </w:pPr>
      <w:r>
        <w:rPr>
          <w:rFonts w:hint="eastAsia" w:ascii="仿宋" w:hAnsi="仿宋" w:eastAsia="仿宋"/>
          <w:b/>
          <w:sz w:val="28"/>
          <w:szCs w:val="28"/>
        </w:rPr>
        <w:t>2.</w:t>
      </w:r>
      <w:r>
        <w:rPr>
          <w:rFonts w:ascii="仿宋" w:hAnsi="仿宋" w:eastAsia="仿宋"/>
          <w:b/>
          <w:sz w:val="28"/>
          <w:szCs w:val="28"/>
        </w:rPr>
        <w:t>具体条件</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推免生除符合基本条件外，还应符合以下具体条件：</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综合排名成绩由申请推免学生本科阶段前 6 个学期平均学分绩点成绩（权重为 80%）和综合能力成绩（权重为 20%）组成，满分 100 分。</w:t>
      </w:r>
    </w:p>
    <w:p>
      <w:pPr>
        <w:adjustRightInd w:val="0"/>
        <w:snapToGrid w:val="0"/>
        <w:spacing w:line="480" w:lineRule="exact"/>
        <w:ind w:firstLine="562" w:firstLineChars="200"/>
        <w:jc w:val="left"/>
        <w:rPr>
          <w:rFonts w:ascii="仿宋" w:hAnsi="仿宋" w:eastAsia="仿宋"/>
          <w:sz w:val="28"/>
          <w:szCs w:val="28"/>
        </w:rPr>
      </w:pPr>
      <w:r>
        <w:rPr>
          <w:rFonts w:hint="eastAsia" w:ascii="仿宋" w:hAnsi="仿宋" w:eastAsia="仿宋"/>
          <w:b/>
          <w:bCs/>
          <w:sz w:val="28"/>
          <w:szCs w:val="28"/>
        </w:rPr>
        <w:t>综合排名成绩=[（被推荐学生平均学分绩点值/本专业第一名学生平均学分绩点值）*100]*80%+综合能力成绩*20%。</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.1</w:t>
      </w:r>
      <w:r>
        <w:rPr>
          <w:rFonts w:hint="eastAsia" w:ascii="仿宋" w:hAnsi="仿宋" w:eastAsia="仿宋"/>
          <w:sz w:val="28"/>
          <w:szCs w:val="28"/>
        </w:rPr>
        <w:t>平均学分绩点的计算</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2.1.</w:t>
      </w:r>
      <w:r>
        <w:rPr>
          <w:rFonts w:hint="eastAsia" w:ascii="仿宋" w:hAnsi="仿宋" w:eastAsia="仿宋"/>
          <w:sz w:val="28"/>
          <w:szCs w:val="28"/>
        </w:rPr>
        <w:t>1.平均学分绩点只计算列入本科专业培养方案的通识教育基础课程、学科基础课程、专业必修课程、专业选修课程成绩、额定学分的公共选修课（按公共选修课模块分类，如该模块公共选修课的学分大于额定学分，可选其中成绩较高的课程计算）。</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2.1.</w:t>
      </w:r>
      <w:r>
        <w:rPr>
          <w:rFonts w:hint="eastAsia" w:ascii="仿宋" w:hAnsi="仿宋" w:eastAsia="仿宋"/>
          <w:sz w:val="28"/>
          <w:szCs w:val="28"/>
        </w:rPr>
        <w:t>2.平均学分绩点计算方法按《青岛理工大学本科生学籍管理规定》执行，平均学分绩点保留小数点后五位数。</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3.平均学分绩点的计算，以首次考试（考核）成绩为准；已办理缓考未参加首次考试（考核），以缓考成绩为准；首次考试（考核）无故旷考，成绩按不合格处理。</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.2</w:t>
      </w:r>
      <w:r>
        <w:rPr>
          <w:rFonts w:hint="eastAsia" w:ascii="仿宋" w:hAnsi="仿宋" w:eastAsia="仿宋"/>
          <w:sz w:val="28"/>
          <w:szCs w:val="28"/>
        </w:rPr>
        <w:t>综合能力评价</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指标包含：科研论文（</w:t>
      </w:r>
      <w:r>
        <w:rPr>
          <w:rFonts w:hint="eastAsia" w:ascii="仿宋" w:hAnsi="仿宋" w:eastAsia="仿宋"/>
          <w:i/>
          <w:iCs/>
          <w:sz w:val="28"/>
          <w:szCs w:val="28"/>
        </w:rPr>
        <w:t>Z</w:t>
      </w:r>
      <w:r>
        <w:rPr>
          <w:rFonts w:hint="eastAsia" w:ascii="仿宋" w:hAnsi="仿宋" w:eastAsia="仿宋"/>
          <w:i/>
          <w:iCs/>
          <w:sz w:val="28"/>
          <w:szCs w:val="28"/>
          <w:vertAlign w:val="subscript"/>
        </w:rPr>
        <w:t>1</w:t>
      </w:r>
      <w:r>
        <w:rPr>
          <w:rFonts w:hint="eastAsia" w:ascii="仿宋" w:hAnsi="仿宋" w:eastAsia="仿宋"/>
          <w:sz w:val="28"/>
          <w:szCs w:val="28"/>
        </w:rPr>
        <w:t>）；科研竞赛（</w:t>
      </w:r>
      <w:r>
        <w:rPr>
          <w:rFonts w:hint="eastAsia" w:ascii="仿宋" w:hAnsi="仿宋" w:eastAsia="仿宋"/>
          <w:i/>
          <w:iCs/>
          <w:sz w:val="28"/>
          <w:szCs w:val="28"/>
        </w:rPr>
        <w:t>Z</w:t>
      </w:r>
      <w:r>
        <w:rPr>
          <w:rFonts w:ascii="仿宋" w:hAnsi="仿宋" w:eastAsia="仿宋"/>
          <w:i/>
          <w:iCs/>
          <w:sz w:val="28"/>
          <w:szCs w:val="28"/>
          <w:vertAlign w:val="subscript"/>
        </w:rPr>
        <w:t>2</w:t>
      </w:r>
      <w:r>
        <w:rPr>
          <w:rFonts w:hint="eastAsia" w:ascii="仿宋" w:hAnsi="仿宋" w:eastAsia="仿宋"/>
          <w:sz w:val="28"/>
          <w:szCs w:val="28"/>
        </w:rPr>
        <w:t>）；学生参军入伍服兵役（</w:t>
      </w:r>
      <w:r>
        <w:rPr>
          <w:rFonts w:hint="eastAsia" w:ascii="仿宋" w:hAnsi="仿宋" w:eastAsia="仿宋"/>
          <w:i/>
          <w:iCs/>
          <w:sz w:val="28"/>
          <w:szCs w:val="28"/>
        </w:rPr>
        <w:t>Z</w:t>
      </w:r>
      <w:r>
        <w:rPr>
          <w:rFonts w:ascii="仿宋" w:hAnsi="仿宋" w:eastAsia="仿宋"/>
          <w:i/>
          <w:iCs/>
          <w:sz w:val="28"/>
          <w:szCs w:val="28"/>
          <w:vertAlign w:val="subscript"/>
        </w:rPr>
        <w:t>3</w:t>
      </w:r>
      <w:r>
        <w:rPr>
          <w:rFonts w:hint="eastAsia" w:ascii="仿宋" w:hAnsi="仿宋" w:eastAsia="仿宋"/>
          <w:sz w:val="28"/>
          <w:szCs w:val="28"/>
        </w:rPr>
        <w:t>）；参加志愿服务（</w:t>
      </w:r>
      <w:r>
        <w:rPr>
          <w:rFonts w:hint="eastAsia" w:ascii="仿宋" w:hAnsi="仿宋" w:eastAsia="仿宋"/>
          <w:i/>
          <w:iCs/>
          <w:sz w:val="28"/>
          <w:szCs w:val="28"/>
        </w:rPr>
        <w:t>Z</w:t>
      </w:r>
      <w:r>
        <w:rPr>
          <w:rFonts w:ascii="仿宋" w:hAnsi="仿宋" w:eastAsia="仿宋"/>
          <w:i/>
          <w:iCs/>
          <w:sz w:val="28"/>
          <w:szCs w:val="28"/>
          <w:vertAlign w:val="subscript"/>
        </w:rPr>
        <w:t>4</w:t>
      </w:r>
      <w:r>
        <w:rPr>
          <w:rFonts w:hint="eastAsia" w:ascii="仿宋" w:hAnsi="仿宋" w:eastAsia="仿宋"/>
          <w:sz w:val="28"/>
          <w:szCs w:val="28"/>
        </w:rPr>
        <w:t>）；到国际组织实习等社会服务（</w:t>
      </w:r>
      <w:r>
        <w:rPr>
          <w:rFonts w:hint="eastAsia" w:ascii="仿宋" w:hAnsi="仿宋" w:eastAsia="仿宋"/>
          <w:i/>
          <w:iCs/>
          <w:sz w:val="28"/>
          <w:szCs w:val="28"/>
        </w:rPr>
        <w:t>Z</w:t>
      </w:r>
      <w:r>
        <w:rPr>
          <w:rFonts w:ascii="仿宋" w:hAnsi="仿宋" w:eastAsia="仿宋"/>
          <w:i/>
          <w:iCs/>
          <w:sz w:val="28"/>
          <w:szCs w:val="28"/>
          <w:vertAlign w:val="subscript"/>
        </w:rPr>
        <w:t>5</w:t>
      </w:r>
      <w:r>
        <w:rPr>
          <w:rFonts w:hint="eastAsia" w:ascii="仿宋" w:hAnsi="仿宋" w:eastAsia="仿宋"/>
          <w:sz w:val="28"/>
          <w:szCs w:val="28"/>
        </w:rPr>
        <w:t>）；综合荣誉等其他（</w:t>
      </w:r>
      <w:r>
        <w:rPr>
          <w:rFonts w:hint="eastAsia" w:ascii="仿宋" w:hAnsi="仿宋" w:eastAsia="仿宋"/>
          <w:i/>
          <w:iCs/>
          <w:sz w:val="28"/>
          <w:szCs w:val="28"/>
        </w:rPr>
        <w:t>Z</w:t>
      </w:r>
      <w:r>
        <w:rPr>
          <w:rFonts w:ascii="仿宋" w:hAnsi="仿宋" w:eastAsia="仿宋"/>
          <w:i/>
          <w:iCs/>
          <w:sz w:val="28"/>
          <w:szCs w:val="28"/>
          <w:vertAlign w:val="subscript"/>
        </w:rPr>
        <w:t>6</w:t>
      </w:r>
      <w:r>
        <w:rPr>
          <w:rFonts w:hint="eastAsia" w:ascii="仿宋" w:hAnsi="仿宋" w:eastAsia="仿宋"/>
          <w:sz w:val="28"/>
          <w:szCs w:val="28"/>
        </w:rPr>
        <w:t>）6 大类。</w:t>
      </w:r>
    </w:p>
    <w:p>
      <w:pPr>
        <w:adjustRightInd w:val="0"/>
        <w:snapToGrid w:val="0"/>
        <w:spacing w:line="480" w:lineRule="exact"/>
        <w:ind w:firstLine="562" w:firstLineChars="200"/>
        <w:jc w:val="left"/>
        <w:rPr>
          <w:rFonts w:eastAsia="仿宋"/>
          <w:b/>
          <w:bCs/>
          <w:sz w:val="28"/>
          <w:szCs w:val="28"/>
        </w:rPr>
      </w:pPr>
      <w:r>
        <w:rPr>
          <w:rFonts w:eastAsia="仿宋"/>
          <w:b/>
          <w:bCs/>
          <w:sz w:val="28"/>
          <w:szCs w:val="28"/>
        </w:rPr>
        <w:t>综合能力成绩=∑（</w:t>
      </w:r>
      <w:r>
        <w:rPr>
          <w:rFonts w:eastAsia="仿宋"/>
          <w:b/>
          <w:bCs/>
          <w:i/>
          <w:iCs/>
          <w:sz w:val="28"/>
          <w:szCs w:val="28"/>
        </w:rPr>
        <w:t>Z</w:t>
      </w:r>
      <w:r>
        <w:rPr>
          <w:rFonts w:eastAsia="仿宋"/>
          <w:b/>
          <w:bCs/>
          <w:i/>
          <w:iCs/>
          <w:sz w:val="28"/>
          <w:szCs w:val="28"/>
          <w:vertAlign w:val="subscript"/>
        </w:rPr>
        <w:t>i</w:t>
      </w:r>
      <w:r>
        <w:rPr>
          <w:rFonts w:eastAsia="仿宋"/>
          <w:b/>
          <w:bCs/>
          <w:sz w:val="28"/>
          <w:szCs w:val="28"/>
        </w:rPr>
        <w:t>成绩*</w:t>
      </w:r>
      <w:r>
        <w:rPr>
          <w:rFonts w:eastAsia="仿宋"/>
          <w:b/>
          <w:bCs/>
          <w:i/>
          <w:iCs/>
          <w:sz w:val="28"/>
          <w:szCs w:val="28"/>
        </w:rPr>
        <w:t xml:space="preserve"> Z</w:t>
      </w:r>
      <w:r>
        <w:rPr>
          <w:rFonts w:eastAsia="仿宋"/>
          <w:b/>
          <w:bCs/>
          <w:i/>
          <w:iCs/>
          <w:sz w:val="28"/>
          <w:szCs w:val="28"/>
          <w:vertAlign w:val="subscript"/>
        </w:rPr>
        <w:t>i</w:t>
      </w:r>
      <w:r>
        <w:rPr>
          <w:rFonts w:eastAsia="仿宋"/>
          <w:b/>
          <w:bCs/>
          <w:sz w:val="28"/>
          <w:szCs w:val="28"/>
        </w:rPr>
        <w:t>权重）</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2.2.</w:t>
      </w:r>
      <w:r>
        <w:rPr>
          <w:rFonts w:hint="eastAsia" w:ascii="仿宋" w:hAnsi="仿宋" w:eastAsia="仿宋"/>
          <w:sz w:val="28"/>
          <w:szCs w:val="28"/>
        </w:rPr>
        <w:t>1. i = 1～6 ,各项成绩满分均为100 分；其中</w:t>
      </w:r>
      <w:r>
        <w:rPr>
          <w:rFonts w:hint="eastAsia" w:ascii="仿宋" w:hAnsi="仿宋" w:eastAsia="仿宋"/>
          <w:i/>
          <w:iCs/>
          <w:sz w:val="28"/>
          <w:szCs w:val="28"/>
        </w:rPr>
        <w:t>Z</w:t>
      </w:r>
      <w:r>
        <w:rPr>
          <w:rFonts w:hint="eastAsia" w:ascii="仿宋" w:hAnsi="仿宋" w:eastAsia="仿宋"/>
          <w:i/>
          <w:iCs/>
          <w:sz w:val="28"/>
          <w:szCs w:val="28"/>
          <w:vertAlign w:val="subscript"/>
        </w:rPr>
        <w:t>1</w:t>
      </w:r>
      <w:r>
        <w:rPr>
          <w:rFonts w:hint="eastAsia" w:ascii="仿宋" w:hAnsi="仿宋" w:eastAsia="仿宋"/>
          <w:sz w:val="28"/>
          <w:szCs w:val="28"/>
        </w:rPr>
        <w:t xml:space="preserve"> 权重为 30%、</w:t>
      </w:r>
    </w:p>
    <w:p>
      <w:pPr>
        <w:adjustRightInd w:val="0"/>
        <w:snapToGrid w:val="0"/>
        <w:spacing w:line="480" w:lineRule="exact"/>
        <w:jc w:val="left"/>
        <w:rPr>
          <w:rFonts w:ascii="仿宋" w:hAnsi="仿宋" w:eastAsia="仿宋"/>
          <w:sz w:val="28"/>
          <w:szCs w:val="28"/>
        </w:rPr>
      </w:pPr>
      <w:r>
        <w:rPr>
          <w:rFonts w:hint="eastAsia" w:ascii="仿宋" w:hAnsi="仿宋" w:eastAsia="仿宋"/>
          <w:i/>
          <w:iCs/>
          <w:sz w:val="28"/>
          <w:szCs w:val="28"/>
        </w:rPr>
        <w:t>Z</w:t>
      </w:r>
      <w:r>
        <w:rPr>
          <w:rFonts w:ascii="仿宋" w:hAnsi="仿宋" w:eastAsia="仿宋"/>
          <w:i/>
          <w:iCs/>
          <w:sz w:val="28"/>
          <w:szCs w:val="28"/>
          <w:vertAlign w:val="subscript"/>
        </w:rPr>
        <w:t>2</w:t>
      </w:r>
      <w:r>
        <w:rPr>
          <w:rFonts w:hint="eastAsia" w:ascii="仿宋" w:hAnsi="仿宋" w:eastAsia="仿宋"/>
          <w:sz w:val="28"/>
          <w:szCs w:val="28"/>
        </w:rPr>
        <w:t>权重为 50%、</w:t>
      </w:r>
      <w:r>
        <w:rPr>
          <w:rFonts w:hint="eastAsia" w:ascii="仿宋" w:hAnsi="仿宋" w:eastAsia="仿宋"/>
          <w:i/>
          <w:iCs/>
          <w:sz w:val="28"/>
          <w:szCs w:val="28"/>
        </w:rPr>
        <w:t>Z</w:t>
      </w:r>
      <w:r>
        <w:rPr>
          <w:rFonts w:ascii="仿宋" w:hAnsi="仿宋" w:eastAsia="仿宋"/>
          <w:i/>
          <w:iCs/>
          <w:sz w:val="28"/>
          <w:szCs w:val="28"/>
          <w:vertAlign w:val="subscript"/>
        </w:rPr>
        <w:t>3</w:t>
      </w:r>
      <w:r>
        <w:rPr>
          <w:rFonts w:hint="eastAsia" w:ascii="仿宋" w:hAnsi="仿宋" w:eastAsia="仿宋"/>
          <w:sz w:val="28"/>
          <w:szCs w:val="28"/>
        </w:rPr>
        <w:t>、</w:t>
      </w:r>
      <w:r>
        <w:rPr>
          <w:rFonts w:hint="eastAsia" w:ascii="仿宋" w:hAnsi="仿宋" w:eastAsia="仿宋"/>
          <w:i/>
          <w:iCs/>
          <w:sz w:val="28"/>
          <w:szCs w:val="28"/>
        </w:rPr>
        <w:t>Z</w:t>
      </w:r>
      <w:r>
        <w:rPr>
          <w:rFonts w:ascii="仿宋" w:hAnsi="仿宋" w:eastAsia="仿宋"/>
          <w:i/>
          <w:iCs/>
          <w:sz w:val="28"/>
          <w:szCs w:val="28"/>
          <w:vertAlign w:val="subscript"/>
        </w:rPr>
        <w:t>4</w:t>
      </w:r>
      <w:r>
        <w:rPr>
          <w:rFonts w:hint="eastAsia" w:ascii="仿宋" w:hAnsi="仿宋" w:eastAsia="仿宋"/>
          <w:sz w:val="28"/>
          <w:szCs w:val="28"/>
        </w:rPr>
        <w:t>、</w:t>
      </w:r>
      <w:r>
        <w:rPr>
          <w:rFonts w:hint="eastAsia" w:ascii="仿宋" w:hAnsi="仿宋" w:eastAsia="仿宋"/>
          <w:i/>
          <w:iCs/>
          <w:sz w:val="28"/>
          <w:szCs w:val="28"/>
        </w:rPr>
        <w:t>Z</w:t>
      </w:r>
      <w:r>
        <w:rPr>
          <w:rFonts w:ascii="仿宋" w:hAnsi="仿宋" w:eastAsia="仿宋"/>
          <w:i/>
          <w:iCs/>
          <w:sz w:val="28"/>
          <w:szCs w:val="28"/>
          <w:vertAlign w:val="subscript"/>
        </w:rPr>
        <w:t>5</w:t>
      </w:r>
      <w:r>
        <w:rPr>
          <w:rFonts w:hint="eastAsia" w:ascii="仿宋" w:hAnsi="仿宋" w:eastAsia="仿宋"/>
          <w:sz w:val="28"/>
          <w:szCs w:val="28"/>
        </w:rPr>
        <w:t>、</w:t>
      </w:r>
      <w:r>
        <w:rPr>
          <w:rFonts w:hint="eastAsia" w:ascii="仿宋" w:hAnsi="仿宋" w:eastAsia="仿宋"/>
          <w:i/>
          <w:iCs/>
          <w:sz w:val="28"/>
          <w:szCs w:val="28"/>
        </w:rPr>
        <w:t>Z</w:t>
      </w:r>
      <w:r>
        <w:rPr>
          <w:rFonts w:ascii="仿宋" w:hAnsi="仿宋" w:eastAsia="仿宋"/>
          <w:i/>
          <w:iCs/>
          <w:sz w:val="28"/>
          <w:szCs w:val="28"/>
          <w:vertAlign w:val="subscript"/>
        </w:rPr>
        <w:t>6</w:t>
      </w:r>
      <w:r>
        <w:rPr>
          <w:rFonts w:hint="eastAsia" w:ascii="仿宋" w:hAnsi="仿宋" w:eastAsia="仿宋"/>
          <w:sz w:val="28"/>
          <w:szCs w:val="28"/>
        </w:rPr>
        <w:t>权重各为5%。</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2.2.</w:t>
      </w:r>
      <w:r>
        <w:rPr>
          <w:rFonts w:hint="eastAsia" w:ascii="仿宋" w:hAnsi="仿宋" w:eastAsia="仿宋"/>
          <w:sz w:val="28"/>
          <w:szCs w:val="28"/>
        </w:rPr>
        <w:t>2.学生在</w:t>
      </w:r>
      <w:r>
        <w:rPr>
          <w:rFonts w:hint="eastAsia" w:ascii="仿宋" w:hAnsi="仿宋" w:eastAsia="仿宋"/>
          <w:i/>
          <w:iCs/>
          <w:sz w:val="28"/>
          <w:szCs w:val="28"/>
        </w:rPr>
        <w:t>Z</w:t>
      </w:r>
      <w:r>
        <w:rPr>
          <w:rFonts w:hint="eastAsia" w:ascii="仿宋" w:hAnsi="仿宋" w:eastAsia="仿宋"/>
          <w:i/>
          <w:iCs/>
          <w:sz w:val="28"/>
          <w:szCs w:val="28"/>
          <w:vertAlign w:val="subscript"/>
        </w:rPr>
        <w:t>1</w:t>
      </w:r>
      <w:r>
        <w:rPr>
          <w:rFonts w:hint="eastAsia" w:ascii="仿宋" w:hAnsi="仿宋" w:eastAsia="仿宋"/>
          <w:sz w:val="28"/>
          <w:szCs w:val="28"/>
        </w:rPr>
        <w:t>～</w:t>
      </w:r>
      <w:r>
        <w:rPr>
          <w:rFonts w:hint="eastAsia" w:ascii="仿宋" w:hAnsi="仿宋" w:eastAsia="仿宋"/>
          <w:i/>
          <w:iCs/>
          <w:sz w:val="28"/>
          <w:szCs w:val="28"/>
        </w:rPr>
        <w:t>Z</w:t>
      </w:r>
      <w:r>
        <w:rPr>
          <w:rFonts w:ascii="仿宋" w:hAnsi="仿宋" w:eastAsia="仿宋"/>
          <w:i/>
          <w:iCs/>
          <w:sz w:val="28"/>
          <w:szCs w:val="28"/>
          <w:vertAlign w:val="subscript"/>
        </w:rPr>
        <w:t>6</w:t>
      </w:r>
      <w:r>
        <w:rPr>
          <w:rFonts w:hint="eastAsia" w:ascii="仿宋" w:hAnsi="仿宋" w:eastAsia="仿宋"/>
          <w:sz w:val="28"/>
          <w:szCs w:val="28"/>
        </w:rPr>
        <w:t xml:space="preserve"> 某一方面中有多项加分情况时，原则上只取</w:t>
      </w:r>
    </w:p>
    <w:p>
      <w:pPr>
        <w:adjustRightInd w:val="0"/>
        <w:snapToGrid w:val="0"/>
        <w:spacing w:line="480" w:lineRule="exact"/>
        <w:jc w:val="left"/>
        <w:rPr>
          <w:rFonts w:ascii="仿宋" w:hAnsi="仿宋" w:eastAsia="仿宋"/>
          <w:sz w:val="28"/>
          <w:szCs w:val="28"/>
        </w:rPr>
      </w:pPr>
      <w:r>
        <w:rPr>
          <w:rFonts w:hint="eastAsia" w:ascii="仿宋" w:hAnsi="仿宋" w:eastAsia="仿宋"/>
          <w:sz w:val="28"/>
          <w:szCs w:val="28"/>
        </w:rPr>
        <w:t>一项。</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2.2.</w:t>
      </w:r>
      <w:r>
        <w:rPr>
          <w:rFonts w:hint="eastAsia" w:ascii="仿宋" w:hAnsi="仿宋" w:eastAsia="仿宋"/>
          <w:sz w:val="28"/>
          <w:szCs w:val="28"/>
        </w:rPr>
        <w:t>3.</w:t>
      </w:r>
      <w:r>
        <w:rPr>
          <w:rFonts w:hint="eastAsia" w:ascii="仿宋" w:hAnsi="仿宋" w:eastAsia="仿宋"/>
          <w:i/>
          <w:iCs/>
          <w:sz w:val="28"/>
          <w:szCs w:val="28"/>
        </w:rPr>
        <w:t xml:space="preserve"> Z</w:t>
      </w:r>
      <w:r>
        <w:rPr>
          <w:rFonts w:hint="eastAsia" w:ascii="仿宋" w:hAnsi="仿宋" w:eastAsia="仿宋"/>
          <w:i/>
          <w:iCs/>
          <w:sz w:val="28"/>
          <w:szCs w:val="28"/>
          <w:vertAlign w:val="subscript"/>
        </w:rPr>
        <w:t>1</w:t>
      </w:r>
      <w:r>
        <w:rPr>
          <w:rFonts w:hint="eastAsia" w:ascii="仿宋" w:hAnsi="仿宋" w:eastAsia="仿宋"/>
          <w:sz w:val="28"/>
          <w:szCs w:val="28"/>
        </w:rPr>
        <w:t>原则上仅限学生本科阶段在核心期刊上以独立作者或第一作者发表的与学业相关的科研论文。</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2.2.</w:t>
      </w:r>
      <w:r>
        <w:rPr>
          <w:rFonts w:hint="eastAsia" w:ascii="仿宋" w:hAnsi="仿宋" w:eastAsia="仿宋"/>
          <w:sz w:val="28"/>
          <w:szCs w:val="28"/>
        </w:rPr>
        <w:t>4.</w:t>
      </w:r>
      <w:r>
        <w:rPr>
          <w:rFonts w:hint="eastAsia" w:ascii="仿宋" w:hAnsi="仿宋" w:eastAsia="仿宋"/>
          <w:i/>
          <w:iCs/>
          <w:sz w:val="28"/>
          <w:szCs w:val="28"/>
        </w:rPr>
        <w:t xml:space="preserve"> Z</w:t>
      </w:r>
      <w:r>
        <w:rPr>
          <w:rFonts w:ascii="仿宋" w:hAnsi="仿宋" w:eastAsia="仿宋"/>
          <w:i/>
          <w:iCs/>
          <w:sz w:val="28"/>
          <w:szCs w:val="28"/>
          <w:vertAlign w:val="subscript"/>
        </w:rPr>
        <w:t>2</w:t>
      </w:r>
      <w:r>
        <w:rPr>
          <w:rFonts w:hint="eastAsia" w:ascii="仿宋" w:hAnsi="仿宋" w:eastAsia="仿宋"/>
          <w:sz w:val="28"/>
          <w:szCs w:val="28"/>
        </w:rPr>
        <w:t>原则上仅限作为主力成员参加与学业相关的国内权威科研竞赛（全国赛）并获得三等奖以上奖励（国际赛事参照执行，但不得低于国内赛事相关要求）。</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2.2.</w:t>
      </w:r>
      <w:r>
        <w:rPr>
          <w:rFonts w:hint="eastAsia" w:ascii="仿宋" w:hAnsi="仿宋" w:eastAsia="仿宋"/>
          <w:sz w:val="28"/>
          <w:szCs w:val="28"/>
        </w:rPr>
        <w:t>5.学生与直系亲属或学历、职称、职务明显高于本人者合作的科研成果、竞赛奖项等仅作为参考，不纳入学生本人推免遴选综合评价成绩计算体系，同等条件下可优先考虑。</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2.2.</w:t>
      </w:r>
      <w:r>
        <w:rPr>
          <w:rFonts w:hint="eastAsia" w:ascii="仿宋" w:hAnsi="仿宋" w:eastAsia="仿宋"/>
          <w:sz w:val="28"/>
          <w:szCs w:val="28"/>
        </w:rPr>
        <w:t>6.</w:t>
      </w:r>
      <w:r>
        <w:rPr>
          <w:rFonts w:hint="eastAsia" w:ascii="仿宋" w:hAnsi="仿宋" w:eastAsia="仿宋"/>
          <w:i/>
          <w:iCs/>
          <w:sz w:val="28"/>
          <w:szCs w:val="28"/>
        </w:rPr>
        <w:t xml:space="preserve"> Z</w:t>
      </w:r>
      <w:r>
        <w:rPr>
          <w:rFonts w:ascii="仿宋" w:hAnsi="仿宋" w:eastAsia="仿宋"/>
          <w:i/>
          <w:iCs/>
          <w:sz w:val="28"/>
          <w:szCs w:val="28"/>
          <w:vertAlign w:val="subscript"/>
        </w:rPr>
        <w:t>1</w:t>
      </w:r>
      <w:r>
        <w:rPr>
          <w:rFonts w:hint="eastAsia" w:ascii="仿宋" w:hAnsi="仿宋" w:eastAsia="仿宋"/>
          <w:sz w:val="28"/>
          <w:szCs w:val="28"/>
        </w:rPr>
        <w:t>、</w:t>
      </w:r>
      <w:r>
        <w:rPr>
          <w:rFonts w:hint="eastAsia" w:ascii="仿宋" w:hAnsi="仿宋" w:eastAsia="仿宋"/>
          <w:i/>
          <w:iCs/>
          <w:sz w:val="28"/>
          <w:szCs w:val="28"/>
        </w:rPr>
        <w:t>Z</w:t>
      </w:r>
      <w:r>
        <w:rPr>
          <w:rFonts w:ascii="仿宋" w:hAnsi="仿宋" w:eastAsia="仿宋"/>
          <w:i/>
          <w:iCs/>
          <w:sz w:val="28"/>
          <w:szCs w:val="28"/>
          <w:vertAlign w:val="subscript"/>
        </w:rPr>
        <w:t>2</w:t>
      </w:r>
      <w:r>
        <w:rPr>
          <w:rFonts w:hint="eastAsia" w:ascii="仿宋" w:hAnsi="仿宋" w:eastAsia="仿宋"/>
          <w:sz w:val="28"/>
          <w:szCs w:val="28"/>
        </w:rPr>
        <w:t>计算依据《青岛理工大学应届本科毕业生科技创新成果认定标准及办法》（见附件）。</w:t>
      </w:r>
    </w:p>
    <w:p>
      <w:pPr>
        <w:pStyle w:val="6"/>
        <w:spacing w:before="0" w:beforeAutospacing="0" w:after="0" w:afterAutospacing="0" w:line="500" w:lineRule="exact"/>
        <w:ind w:firstLine="560" w:firstLineChars="200"/>
        <w:jc w:val="both"/>
        <w:rPr>
          <w:rFonts w:ascii="仿宋" w:hAnsi="仿宋" w:eastAsia="仿宋" w:cs="Times New Roman"/>
          <w:kern w:val="2"/>
          <w:sz w:val="28"/>
          <w:szCs w:val="28"/>
        </w:rPr>
      </w:pPr>
      <w:r>
        <w:rPr>
          <w:rFonts w:ascii="仿宋" w:hAnsi="仿宋" w:eastAsia="仿宋" w:cs="Times New Roman"/>
          <w:kern w:val="2"/>
          <w:sz w:val="28"/>
          <w:szCs w:val="28"/>
        </w:rPr>
        <w:t>2.2.</w:t>
      </w:r>
      <w:r>
        <w:rPr>
          <w:rFonts w:hint="eastAsia" w:ascii="仿宋" w:hAnsi="仿宋" w:eastAsia="仿宋" w:cs="Times New Roman"/>
          <w:kern w:val="2"/>
          <w:sz w:val="28"/>
          <w:szCs w:val="28"/>
        </w:rPr>
        <w:t>7.学生参军入伍服兵役（</w:t>
      </w:r>
      <w:r>
        <w:rPr>
          <w:rFonts w:hint="eastAsia" w:ascii="仿宋" w:hAnsi="仿宋" w:eastAsia="仿宋" w:cs="Times New Roman"/>
          <w:i/>
          <w:iCs/>
          <w:kern w:val="2"/>
          <w:sz w:val="28"/>
          <w:szCs w:val="28"/>
        </w:rPr>
        <w:t>Z</w:t>
      </w:r>
      <w:r>
        <w:rPr>
          <w:rFonts w:hint="eastAsia" w:ascii="仿宋" w:hAnsi="仿宋" w:eastAsia="仿宋" w:cs="Times New Roman"/>
          <w:i/>
          <w:iCs/>
          <w:kern w:val="2"/>
          <w:sz w:val="28"/>
          <w:szCs w:val="28"/>
          <w:vertAlign w:val="subscript"/>
        </w:rPr>
        <w:t>3</w:t>
      </w:r>
      <w:r>
        <w:rPr>
          <w:rFonts w:hint="eastAsia" w:ascii="仿宋" w:hAnsi="仿宋" w:eastAsia="仿宋" w:cs="Times New Roman"/>
          <w:kern w:val="2"/>
          <w:sz w:val="28"/>
          <w:szCs w:val="28"/>
        </w:rPr>
        <w:t>）计100分。</w:t>
      </w:r>
    </w:p>
    <w:p>
      <w:pPr>
        <w:pStyle w:val="6"/>
        <w:spacing w:before="0" w:beforeAutospacing="0" w:after="0" w:afterAutospacing="0" w:line="500" w:lineRule="exact"/>
        <w:ind w:firstLine="560" w:firstLineChars="200"/>
        <w:jc w:val="both"/>
        <w:rPr>
          <w:rFonts w:ascii="仿宋" w:hAnsi="仿宋" w:eastAsia="仿宋" w:cs="Times New Roman"/>
          <w:kern w:val="2"/>
          <w:sz w:val="28"/>
          <w:szCs w:val="28"/>
        </w:rPr>
      </w:pPr>
      <w:r>
        <w:rPr>
          <w:rFonts w:ascii="仿宋" w:hAnsi="仿宋" w:eastAsia="仿宋" w:cs="Times New Roman"/>
          <w:kern w:val="2"/>
          <w:sz w:val="28"/>
          <w:szCs w:val="28"/>
        </w:rPr>
        <w:t>2.2.</w:t>
      </w:r>
      <w:r>
        <w:rPr>
          <w:rFonts w:hint="eastAsia" w:ascii="仿宋" w:hAnsi="仿宋" w:eastAsia="仿宋" w:cs="Times New Roman"/>
          <w:kern w:val="2"/>
          <w:sz w:val="28"/>
          <w:szCs w:val="28"/>
        </w:rPr>
        <w:t>8.参加志愿服务（Z</w:t>
      </w:r>
      <w:r>
        <w:rPr>
          <w:rFonts w:hint="eastAsia" w:ascii="仿宋" w:hAnsi="仿宋" w:eastAsia="仿宋" w:cs="Times New Roman"/>
          <w:kern w:val="2"/>
          <w:sz w:val="28"/>
          <w:szCs w:val="28"/>
          <w:vertAlign w:val="subscript"/>
        </w:rPr>
        <w:t>4</w:t>
      </w:r>
      <w:r>
        <w:rPr>
          <w:rFonts w:hint="eastAsia" w:ascii="仿宋" w:hAnsi="仿宋" w:eastAsia="仿宋" w:cs="Times New Roman"/>
          <w:kern w:val="2"/>
          <w:sz w:val="28"/>
          <w:szCs w:val="28"/>
        </w:rPr>
        <w:t>）。学生在社会实践、志愿服务、慈善公益等活动中有突出事迹受到地市级及以上官方表彰奖励。个人项目分别计100分（国家级）、80分（省部级）和50分（地市级），集体项目得分有位次的按照下表计算系数，没有位次的得分均分到全体成员，团队负责人得分加倍。</w:t>
      </w:r>
    </w:p>
    <w:p>
      <w:pPr>
        <w:pStyle w:val="6"/>
        <w:spacing w:before="0" w:beforeAutospacing="0" w:after="0" w:afterAutospacing="0" w:line="500" w:lineRule="exact"/>
        <w:ind w:firstLine="560" w:firstLineChars="200"/>
        <w:jc w:val="both"/>
        <w:rPr>
          <w:rFonts w:ascii="仿宋" w:hAnsi="仿宋" w:eastAsia="仿宋" w:cs="Times New Roman"/>
          <w:kern w:val="2"/>
          <w:sz w:val="28"/>
          <w:szCs w:val="28"/>
        </w:rPr>
      </w:pPr>
      <w:r>
        <w:rPr>
          <w:rFonts w:hint="eastAsia" w:ascii="仿宋" w:hAnsi="仿宋" w:eastAsia="仿宋" w:cs="Times New Roman"/>
          <w:kern w:val="2"/>
          <w:sz w:val="28"/>
          <w:szCs w:val="28"/>
        </w:rPr>
        <w:t>（1）独立完成人位次系数为 100%。</w:t>
      </w:r>
    </w:p>
    <w:p>
      <w:pPr>
        <w:pStyle w:val="6"/>
        <w:spacing w:before="0" w:beforeAutospacing="0" w:after="0" w:afterAutospacing="0" w:line="500" w:lineRule="exact"/>
        <w:ind w:firstLine="560" w:firstLineChars="200"/>
        <w:jc w:val="both"/>
        <w:rPr>
          <w:rFonts w:ascii="仿宋" w:hAnsi="仿宋" w:eastAsia="仿宋" w:cs="Times New Roman"/>
          <w:kern w:val="2"/>
          <w:sz w:val="28"/>
          <w:szCs w:val="28"/>
        </w:rPr>
      </w:pPr>
      <w:r>
        <w:rPr>
          <w:rFonts w:hint="eastAsia" w:ascii="仿宋" w:hAnsi="仿宋" w:eastAsia="仿宋" w:cs="Times New Roman"/>
          <w:kern w:val="2"/>
          <w:sz w:val="28"/>
          <w:szCs w:val="28"/>
        </w:rPr>
        <w:t>（2）团队成员人数为 2 位的位次系数。</w:t>
      </w:r>
    </w:p>
    <w:tbl>
      <w:tblPr>
        <w:tblStyle w:val="11"/>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867"/>
        <w:gridCol w:w="2868"/>
        <w:gridCol w:w="3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jc w:val="center"/>
        </w:trPr>
        <w:tc>
          <w:tcPr>
            <w:tcW w:w="1097" w:type="pct"/>
            <w:vAlign w:val="center"/>
          </w:tcPr>
          <w:p>
            <w:pPr>
              <w:pStyle w:val="17"/>
              <w:autoSpaceDE w:val="0"/>
              <w:autoSpaceDN w:val="0"/>
              <w:spacing w:before="0" w:line="500" w:lineRule="exact"/>
              <w:rPr>
                <w:rFonts w:ascii="方正仿宋_GB2312" w:hAnsi="方正仿宋_GB2312" w:eastAsia="方正仿宋_GB2312" w:cs="方正仿宋_GB2312"/>
                <w:sz w:val="24"/>
              </w:rPr>
            </w:pPr>
            <w:r>
              <w:rPr>
                <w:rFonts w:hint="eastAsia" w:ascii="方正仿宋_GB2312" w:hAnsi="方正仿宋_GB2312" w:eastAsia="方正仿宋_GB2312" w:cs="方正仿宋_GB2312"/>
                <w:sz w:val="24"/>
              </w:rPr>
              <w:t>序号</w:t>
            </w:r>
          </w:p>
        </w:tc>
        <w:tc>
          <w:tcPr>
            <w:tcW w:w="1684" w:type="pct"/>
            <w:vAlign w:val="center"/>
          </w:tcPr>
          <w:p>
            <w:pPr>
              <w:pStyle w:val="17"/>
              <w:autoSpaceDE w:val="0"/>
              <w:autoSpaceDN w:val="0"/>
              <w:spacing w:before="0" w:line="500" w:lineRule="exact"/>
              <w:rPr>
                <w:rFonts w:ascii="方正仿宋_GB2312" w:hAnsi="方正仿宋_GB2312" w:eastAsia="方正仿宋_GB2312" w:cs="方正仿宋_GB2312"/>
                <w:sz w:val="24"/>
              </w:rPr>
            </w:pPr>
            <w:r>
              <w:rPr>
                <w:rFonts w:hint="eastAsia" w:ascii="方正仿宋_GB2312" w:hAnsi="方正仿宋_GB2312" w:eastAsia="方正仿宋_GB2312" w:cs="方正仿宋_GB2312"/>
                <w:sz w:val="24"/>
              </w:rPr>
              <w:t>位次</w:t>
            </w:r>
          </w:p>
        </w:tc>
        <w:tc>
          <w:tcPr>
            <w:tcW w:w="2218" w:type="pct"/>
            <w:vAlign w:val="center"/>
          </w:tcPr>
          <w:p>
            <w:pPr>
              <w:pStyle w:val="17"/>
              <w:autoSpaceDE w:val="0"/>
              <w:autoSpaceDN w:val="0"/>
              <w:spacing w:before="0" w:line="500" w:lineRule="exact"/>
              <w:rPr>
                <w:rFonts w:ascii="方正仿宋_GB2312" w:hAnsi="方正仿宋_GB2312" w:eastAsia="方正仿宋_GB2312" w:cs="方正仿宋_GB2312"/>
                <w:sz w:val="24"/>
              </w:rPr>
            </w:pPr>
            <w:r>
              <w:rPr>
                <w:rFonts w:hint="eastAsia" w:ascii="方正仿宋_GB2312" w:hAnsi="方正仿宋_GB2312" w:eastAsia="方正仿宋_GB2312" w:cs="方正仿宋_GB2312"/>
                <w:sz w:val="24"/>
              </w:rPr>
              <w:t>位次系数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jc w:val="center"/>
        </w:trPr>
        <w:tc>
          <w:tcPr>
            <w:tcW w:w="1097" w:type="pct"/>
            <w:vAlign w:val="center"/>
          </w:tcPr>
          <w:p>
            <w:pPr>
              <w:pStyle w:val="17"/>
              <w:autoSpaceDE w:val="0"/>
              <w:autoSpaceDN w:val="0"/>
              <w:spacing w:before="0" w:line="500" w:lineRule="exact"/>
              <w:rPr>
                <w:rFonts w:ascii="方正仿宋_GB2312" w:hAnsi="方正仿宋_GB2312" w:eastAsia="方正仿宋_GB2312" w:cs="方正仿宋_GB2312"/>
                <w:sz w:val="24"/>
              </w:rPr>
            </w:pPr>
            <w:r>
              <w:rPr>
                <w:rFonts w:hint="eastAsia" w:ascii="方正仿宋_GB2312" w:hAnsi="方正仿宋_GB2312" w:eastAsia="方正仿宋_GB2312" w:cs="方正仿宋_GB2312"/>
                <w:w w:val="99"/>
                <w:sz w:val="24"/>
              </w:rPr>
              <w:t>1</w:t>
            </w:r>
          </w:p>
        </w:tc>
        <w:tc>
          <w:tcPr>
            <w:tcW w:w="1684" w:type="pct"/>
            <w:vAlign w:val="center"/>
          </w:tcPr>
          <w:p>
            <w:pPr>
              <w:pStyle w:val="17"/>
              <w:autoSpaceDE w:val="0"/>
              <w:autoSpaceDN w:val="0"/>
              <w:spacing w:before="0" w:line="500" w:lineRule="exact"/>
              <w:rPr>
                <w:rFonts w:ascii="方正仿宋_GB2312" w:hAnsi="方正仿宋_GB2312" w:eastAsia="方正仿宋_GB2312" w:cs="方正仿宋_GB2312"/>
                <w:sz w:val="24"/>
              </w:rPr>
            </w:pPr>
            <w:r>
              <w:rPr>
                <w:rFonts w:hint="eastAsia" w:ascii="方正仿宋_GB2312" w:hAnsi="方正仿宋_GB2312" w:eastAsia="方正仿宋_GB2312" w:cs="方正仿宋_GB2312"/>
                <w:w w:val="99"/>
                <w:sz w:val="24"/>
              </w:rPr>
              <w:t>1</w:t>
            </w:r>
          </w:p>
        </w:tc>
        <w:tc>
          <w:tcPr>
            <w:tcW w:w="2218" w:type="pct"/>
            <w:vAlign w:val="center"/>
          </w:tcPr>
          <w:p>
            <w:pPr>
              <w:pStyle w:val="17"/>
              <w:autoSpaceDE w:val="0"/>
              <w:autoSpaceDN w:val="0"/>
              <w:spacing w:before="0" w:line="500" w:lineRule="exact"/>
              <w:rPr>
                <w:rFonts w:ascii="方正仿宋_GB2312" w:hAnsi="方正仿宋_GB2312" w:eastAsia="方正仿宋_GB2312" w:cs="方正仿宋_GB2312"/>
                <w:sz w:val="24"/>
                <w:lang w:val="en-US"/>
              </w:rPr>
            </w:pPr>
            <w:r>
              <w:rPr>
                <w:rFonts w:hint="eastAsia" w:ascii="方正仿宋_GB2312" w:hAnsi="方正仿宋_GB2312" w:eastAsia="方正仿宋_GB2312" w:cs="方正仿宋_GB2312"/>
                <w:spacing w:val="6"/>
                <w:w w:val="95"/>
                <w:position w:val="1"/>
                <w:sz w:val="24"/>
              </w:rPr>
              <w:t>60</w:t>
            </w:r>
            <w:r>
              <w:rPr>
                <w:rFonts w:hint="eastAsia" w:ascii="方正仿宋_GB2312" w:hAnsi="方正仿宋_GB2312" w:eastAsia="方正仿宋_GB2312" w:cs="方正仿宋_GB2312"/>
                <w:spacing w:val="6"/>
                <w:w w:val="95"/>
                <w:position w:val="1"/>
                <w:sz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jc w:val="center"/>
        </w:trPr>
        <w:tc>
          <w:tcPr>
            <w:tcW w:w="1097" w:type="pct"/>
            <w:vAlign w:val="center"/>
          </w:tcPr>
          <w:p>
            <w:pPr>
              <w:pStyle w:val="17"/>
              <w:autoSpaceDE w:val="0"/>
              <w:autoSpaceDN w:val="0"/>
              <w:spacing w:before="0" w:line="500" w:lineRule="exact"/>
              <w:rPr>
                <w:rFonts w:ascii="方正仿宋_GB2312" w:hAnsi="方正仿宋_GB2312" w:eastAsia="方正仿宋_GB2312" w:cs="方正仿宋_GB2312"/>
                <w:sz w:val="24"/>
              </w:rPr>
            </w:pPr>
            <w:r>
              <w:rPr>
                <w:rFonts w:hint="eastAsia" w:ascii="方正仿宋_GB2312" w:hAnsi="方正仿宋_GB2312" w:eastAsia="方正仿宋_GB2312" w:cs="方正仿宋_GB2312"/>
                <w:w w:val="99"/>
                <w:sz w:val="24"/>
              </w:rPr>
              <w:t>2</w:t>
            </w:r>
          </w:p>
        </w:tc>
        <w:tc>
          <w:tcPr>
            <w:tcW w:w="1684" w:type="pct"/>
            <w:vAlign w:val="center"/>
          </w:tcPr>
          <w:p>
            <w:pPr>
              <w:pStyle w:val="17"/>
              <w:autoSpaceDE w:val="0"/>
              <w:autoSpaceDN w:val="0"/>
              <w:spacing w:before="0" w:line="500" w:lineRule="exact"/>
              <w:rPr>
                <w:rFonts w:ascii="方正仿宋_GB2312" w:hAnsi="方正仿宋_GB2312" w:eastAsia="方正仿宋_GB2312" w:cs="方正仿宋_GB2312"/>
                <w:sz w:val="24"/>
              </w:rPr>
            </w:pPr>
            <w:r>
              <w:rPr>
                <w:rFonts w:hint="eastAsia" w:ascii="方正仿宋_GB2312" w:hAnsi="方正仿宋_GB2312" w:eastAsia="方正仿宋_GB2312" w:cs="方正仿宋_GB2312"/>
                <w:w w:val="99"/>
                <w:sz w:val="24"/>
              </w:rPr>
              <w:t>2</w:t>
            </w:r>
          </w:p>
        </w:tc>
        <w:tc>
          <w:tcPr>
            <w:tcW w:w="2218" w:type="pct"/>
            <w:vAlign w:val="center"/>
          </w:tcPr>
          <w:p>
            <w:pPr>
              <w:pStyle w:val="17"/>
              <w:autoSpaceDE w:val="0"/>
              <w:autoSpaceDN w:val="0"/>
              <w:spacing w:before="0" w:line="500" w:lineRule="exact"/>
              <w:rPr>
                <w:rFonts w:ascii="方正仿宋_GB2312" w:hAnsi="方正仿宋_GB2312" w:eastAsia="方正仿宋_GB2312" w:cs="方正仿宋_GB2312"/>
                <w:sz w:val="24"/>
                <w:lang w:val="en-US"/>
              </w:rPr>
            </w:pPr>
            <w:r>
              <w:rPr>
                <w:rFonts w:hint="eastAsia" w:ascii="方正仿宋_GB2312" w:hAnsi="方正仿宋_GB2312" w:eastAsia="方正仿宋_GB2312" w:cs="方正仿宋_GB2312"/>
                <w:spacing w:val="6"/>
                <w:w w:val="95"/>
                <w:sz w:val="24"/>
              </w:rPr>
              <w:t>40</w:t>
            </w:r>
            <w:r>
              <w:rPr>
                <w:rFonts w:hint="eastAsia" w:ascii="方正仿宋_GB2312" w:hAnsi="方正仿宋_GB2312" w:eastAsia="方正仿宋_GB2312" w:cs="方正仿宋_GB2312"/>
                <w:spacing w:val="6"/>
                <w:w w:val="95"/>
                <w:sz w:val="24"/>
                <w:lang w:val="en-US"/>
              </w:rPr>
              <w:t>%</w:t>
            </w:r>
          </w:p>
        </w:tc>
      </w:tr>
    </w:tbl>
    <w:p>
      <w:pPr>
        <w:pStyle w:val="6"/>
        <w:spacing w:before="0" w:beforeAutospacing="0" w:after="0" w:afterAutospacing="0" w:line="500" w:lineRule="exact"/>
        <w:ind w:firstLine="480" w:firstLineChars="200"/>
        <w:jc w:val="both"/>
        <w:rPr>
          <w:rFonts w:ascii="方正仿宋_GB2312" w:hAnsi="方正仿宋_GB2312" w:eastAsia="方正仿宋_GB2312" w:cs="方正仿宋_GB2312"/>
        </w:rPr>
      </w:pPr>
      <w:r>
        <w:rPr>
          <w:rFonts w:hint="eastAsia" w:ascii="方正仿宋_GB2312" w:hAnsi="方正仿宋_GB2312" w:eastAsia="方正仿宋_GB2312" w:cs="方正仿宋_GB2312"/>
        </w:rPr>
        <w:t>（3）团队成员人数大于等于 3 位的位次系数。</w:t>
      </w:r>
    </w:p>
    <w:tbl>
      <w:tblPr>
        <w:tblStyle w:val="11"/>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1652"/>
        <w:gridCol w:w="2537"/>
        <w:gridCol w:w="3228"/>
        <w:gridCol w:w="1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6" w:hRule="atLeast"/>
          <w:jc w:val="center"/>
        </w:trPr>
        <w:tc>
          <w:tcPr>
            <w:tcW w:w="968" w:type="pct"/>
            <w:vAlign w:val="center"/>
          </w:tcPr>
          <w:p>
            <w:pPr>
              <w:pStyle w:val="6"/>
              <w:spacing w:before="0" w:beforeAutospacing="0" w:after="0" w:afterAutospacing="0" w:line="500" w:lineRule="exact"/>
              <w:ind w:firstLine="480"/>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序号</w:t>
            </w:r>
          </w:p>
        </w:tc>
        <w:tc>
          <w:tcPr>
            <w:tcW w:w="1486" w:type="pct"/>
            <w:vAlign w:val="center"/>
          </w:tcPr>
          <w:p>
            <w:pPr>
              <w:pStyle w:val="6"/>
              <w:spacing w:before="0" w:beforeAutospacing="0" w:after="0" w:afterAutospacing="0" w:line="500" w:lineRule="exact"/>
              <w:ind w:firstLine="480"/>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作者名次</w:t>
            </w:r>
          </w:p>
        </w:tc>
        <w:tc>
          <w:tcPr>
            <w:tcW w:w="1891" w:type="pct"/>
            <w:vAlign w:val="center"/>
          </w:tcPr>
          <w:p>
            <w:pPr>
              <w:pStyle w:val="6"/>
              <w:spacing w:before="0" w:beforeAutospacing="0" w:after="0" w:afterAutospacing="0" w:line="500" w:lineRule="exact"/>
              <w:ind w:firstLine="480"/>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位次计算系数</w:t>
            </w:r>
          </w:p>
        </w:tc>
        <w:tc>
          <w:tcPr>
            <w:tcW w:w="653" w:type="pct"/>
            <w:vAlign w:val="center"/>
          </w:tcPr>
          <w:p>
            <w:pPr>
              <w:pStyle w:val="6"/>
              <w:spacing w:before="0" w:beforeAutospacing="0" w:after="0" w:afterAutospacing="0" w:line="500" w:lineRule="exact"/>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2" w:hRule="atLeast"/>
          <w:jc w:val="center"/>
        </w:trPr>
        <w:tc>
          <w:tcPr>
            <w:tcW w:w="968" w:type="pct"/>
            <w:vAlign w:val="center"/>
          </w:tcPr>
          <w:p>
            <w:pPr>
              <w:pStyle w:val="6"/>
              <w:spacing w:before="0" w:beforeAutospacing="0" w:after="0" w:afterAutospacing="0" w:line="500" w:lineRule="exact"/>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1</w:t>
            </w:r>
          </w:p>
        </w:tc>
        <w:tc>
          <w:tcPr>
            <w:tcW w:w="1486" w:type="pct"/>
            <w:vAlign w:val="center"/>
          </w:tcPr>
          <w:p>
            <w:pPr>
              <w:pStyle w:val="6"/>
              <w:spacing w:before="0" w:beforeAutospacing="0" w:after="0" w:afterAutospacing="0" w:line="500" w:lineRule="exact"/>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1</w:t>
            </w:r>
          </w:p>
        </w:tc>
        <w:tc>
          <w:tcPr>
            <w:tcW w:w="1891" w:type="pct"/>
            <w:vAlign w:val="center"/>
          </w:tcPr>
          <w:p>
            <w:pPr>
              <w:pStyle w:val="6"/>
              <w:spacing w:before="0" w:beforeAutospacing="0" w:after="0" w:afterAutospacing="0" w:line="500" w:lineRule="exact"/>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50%</w:t>
            </w:r>
          </w:p>
        </w:tc>
        <w:tc>
          <w:tcPr>
            <w:tcW w:w="653" w:type="pct"/>
            <w:vAlign w:val="center"/>
          </w:tcPr>
          <w:p>
            <w:pPr>
              <w:pStyle w:val="6"/>
              <w:spacing w:before="0" w:beforeAutospacing="0" w:after="0" w:afterAutospacing="0" w:line="500" w:lineRule="exact"/>
              <w:ind w:firstLine="480"/>
              <w:jc w:val="center"/>
              <w:rPr>
                <w:rFonts w:ascii="方正仿宋_GB2312" w:hAnsi="方正仿宋_GB2312" w:eastAsia="方正仿宋_GB2312" w:cs="方正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4" w:hRule="atLeast"/>
          <w:jc w:val="center"/>
        </w:trPr>
        <w:tc>
          <w:tcPr>
            <w:tcW w:w="968" w:type="pct"/>
            <w:vAlign w:val="center"/>
          </w:tcPr>
          <w:p>
            <w:pPr>
              <w:pStyle w:val="6"/>
              <w:spacing w:before="0" w:beforeAutospacing="0" w:after="0" w:afterAutospacing="0" w:line="500" w:lineRule="exact"/>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2</w:t>
            </w:r>
          </w:p>
        </w:tc>
        <w:tc>
          <w:tcPr>
            <w:tcW w:w="1486" w:type="pct"/>
            <w:vAlign w:val="center"/>
          </w:tcPr>
          <w:p>
            <w:pPr>
              <w:pStyle w:val="6"/>
              <w:spacing w:before="0" w:beforeAutospacing="0" w:after="0" w:afterAutospacing="0" w:line="500" w:lineRule="exact"/>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2</w:t>
            </w:r>
          </w:p>
        </w:tc>
        <w:tc>
          <w:tcPr>
            <w:tcW w:w="1891" w:type="pct"/>
            <w:vAlign w:val="center"/>
          </w:tcPr>
          <w:p>
            <w:pPr>
              <w:pStyle w:val="6"/>
              <w:spacing w:before="0" w:beforeAutospacing="0" w:after="0" w:afterAutospacing="0" w:line="500" w:lineRule="exact"/>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30%</w:t>
            </w:r>
          </w:p>
        </w:tc>
        <w:tc>
          <w:tcPr>
            <w:tcW w:w="653" w:type="pct"/>
            <w:vAlign w:val="center"/>
          </w:tcPr>
          <w:p>
            <w:pPr>
              <w:pStyle w:val="6"/>
              <w:spacing w:before="0" w:beforeAutospacing="0" w:after="0" w:afterAutospacing="0" w:line="500" w:lineRule="exact"/>
              <w:ind w:firstLine="480"/>
              <w:jc w:val="center"/>
              <w:rPr>
                <w:rFonts w:ascii="方正仿宋_GB2312" w:hAnsi="方正仿宋_GB2312" w:eastAsia="方正仿宋_GB2312" w:cs="方正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69" w:hRule="atLeast"/>
          <w:jc w:val="center"/>
        </w:trPr>
        <w:tc>
          <w:tcPr>
            <w:tcW w:w="968" w:type="pct"/>
            <w:vAlign w:val="center"/>
          </w:tcPr>
          <w:p>
            <w:pPr>
              <w:pStyle w:val="6"/>
              <w:spacing w:before="0" w:beforeAutospacing="0" w:after="0" w:afterAutospacing="0" w:line="500" w:lineRule="exact"/>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3</w:t>
            </w:r>
          </w:p>
        </w:tc>
        <w:tc>
          <w:tcPr>
            <w:tcW w:w="1486" w:type="pct"/>
            <w:vAlign w:val="center"/>
          </w:tcPr>
          <w:p>
            <w:pPr>
              <w:pStyle w:val="6"/>
              <w:spacing w:before="0" w:beforeAutospacing="0" w:after="0" w:afterAutospacing="0" w:line="500" w:lineRule="exact"/>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3</w:t>
            </w:r>
          </w:p>
        </w:tc>
        <w:tc>
          <w:tcPr>
            <w:tcW w:w="1891" w:type="pct"/>
            <w:vAlign w:val="center"/>
          </w:tcPr>
          <w:p>
            <w:pPr>
              <w:pStyle w:val="6"/>
              <w:spacing w:before="0" w:beforeAutospacing="0" w:after="0" w:afterAutospacing="0" w:line="500" w:lineRule="exact"/>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20%</w:t>
            </w:r>
          </w:p>
        </w:tc>
        <w:tc>
          <w:tcPr>
            <w:tcW w:w="653" w:type="pct"/>
            <w:vAlign w:val="center"/>
          </w:tcPr>
          <w:p>
            <w:pPr>
              <w:pStyle w:val="6"/>
              <w:spacing w:before="0" w:beforeAutospacing="0" w:after="0" w:afterAutospacing="0" w:line="500" w:lineRule="exact"/>
              <w:ind w:firstLine="480"/>
              <w:jc w:val="center"/>
              <w:rPr>
                <w:rFonts w:ascii="方正仿宋_GB2312" w:hAnsi="方正仿宋_GB2312" w:eastAsia="方正仿宋_GB2312" w:cs="方正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76" w:hRule="atLeast"/>
          <w:jc w:val="center"/>
        </w:trPr>
        <w:tc>
          <w:tcPr>
            <w:tcW w:w="968" w:type="pct"/>
            <w:vAlign w:val="center"/>
          </w:tcPr>
          <w:p>
            <w:pPr>
              <w:pStyle w:val="6"/>
              <w:spacing w:before="0" w:beforeAutospacing="0" w:after="0" w:afterAutospacing="0" w:line="500" w:lineRule="exact"/>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4</w:t>
            </w:r>
          </w:p>
        </w:tc>
        <w:tc>
          <w:tcPr>
            <w:tcW w:w="1486" w:type="pct"/>
            <w:vAlign w:val="center"/>
          </w:tcPr>
          <w:p>
            <w:pPr>
              <w:pStyle w:val="6"/>
              <w:spacing w:before="0" w:beforeAutospacing="0" w:after="0" w:afterAutospacing="0" w:line="500" w:lineRule="exact"/>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4及以后</w:t>
            </w:r>
          </w:p>
        </w:tc>
        <w:tc>
          <w:tcPr>
            <w:tcW w:w="1891" w:type="pct"/>
            <w:vAlign w:val="center"/>
          </w:tcPr>
          <w:p>
            <w:pPr>
              <w:pStyle w:val="6"/>
              <w:spacing w:before="0" w:beforeAutospacing="0" w:after="0" w:afterAutospacing="0" w:line="500" w:lineRule="exact"/>
              <w:jc w:val="center"/>
              <w:rPr>
                <w:rFonts w:ascii="方正仿宋_GB2312" w:hAnsi="方正仿宋_GB2312" w:eastAsia="方正仿宋_GB2312" w:cs="方正仿宋_GB2312"/>
              </w:rPr>
            </w:pPr>
            <w:r>
              <w:rPr>
                <w:rFonts w:hint="eastAsia" w:ascii="方正仿宋_GB2312" w:hAnsi="方正仿宋_GB2312" w:eastAsia="方正仿宋_GB2312" w:cs="方正仿宋_GB2312"/>
              </w:rPr>
              <w:t>0%</w:t>
            </w:r>
          </w:p>
        </w:tc>
        <w:tc>
          <w:tcPr>
            <w:tcW w:w="653" w:type="pct"/>
            <w:vAlign w:val="center"/>
          </w:tcPr>
          <w:p>
            <w:pPr>
              <w:pStyle w:val="6"/>
              <w:spacing w:before="0" w:beforeAutospacing="0" w:after="0" w:afterAutospacing="0" w:line="500" w:lineRule="exact"/>
              <w:ind w:firstLine="480"/>
              <w:jc w:val="center"/>
              <w:rPr>
                <w:rFonts w:ascii="方正仿宋_GB2312" w:hAnsi="方正仿宋_GB2312" w:eastAsia="方正仿宋_GB2312" w:cs="方正仿宋_GB2312"/>
              </w:rPr>
            </w:pPr>
          </w:p>
        </w:tc>
      </w:tr>
    </w:tbl>
    <w:p>
      <w:pPr>
        <w:pStyle w:val="6"/>
        <w:spacing w:before="0" w:beforeAutospacing="0" w:after="0" w:afterAutospacing="0" w:line="500" w:lineRule="exact"/>
        <w:ind w:firstLine="560" w:firstLineChars="200"/>
        <w:jc w:val="both"/>
        <w:rPr>
          <w:rFonts w:ascii="仿宋" w:hAnsi="仿宋" w:eastAsia="仿宋" w:cs="Times New Roman"/>
          <w:kern w:val="2"/>
          <w:sz w:val="28"/>
          <w:szCs w:val="28"/>
        </w:rPr>
      </w:pPr>
      <w:r>
        <w:rPr>
          <w:rFonts w:ascii="仿宋" w:hAnsi="仿宋" w:eastAsia="仿宋" w:cs="Times New Roman"/>
          <w:kern w:val="2"/>
          <w:sz w:val="28"/>
          <w:szCs w:val="28"/>
        </w:rPr>
        <w:t>2.2.</w:t>
      </w:r>
      <w:r>
        <w:rPr>
          <w:rFonts w:hint="eastAsia" w:ascii="仿宋" w:hAnsi="仿宋" w:eastAsia="仿宋" w:cs="Times New Roman"/>
          <w:kern w:val="2"/>
          <w:sz w:val="28"/>
          <w:szCs w:val="28"/>
        </w:rPr>
        <w:t>9.到国际组织实习等社会服务（Z</w:t>
      </w:r>
      <w:r>
        <w:rPr>
          <w:rFonts w:hint="eastAsia" w:ascii="仿宋" w:hAnsi="仿宋" w:eastAsia="仿宋" w:cs="Times New Roman"/>
          <w:kern w:val="2"/>
          <w:sz w:val="28"/>
          <w:szCs w:val="28"/>
          <w:vertAlign w:val="subscript"/>
        </w:rPr>
        <w:t>5</w:t>
      </w:r>
      <w:r>
        <w:rPr>
          <w:rFonts w:hint="eastAsia" w:ascii="仿宋" w:hAnsi="仿宋" w:eastAsia="仿宋" w:cs="Times New Roman"/>
          <w:kern w:val="2"/>
          <w:sz w:val="28"/>
          <w:szCs w:val="28"/>
        </w:rPr>
        <w:t>）。</w:t>
      </w:r>
    </w:p>
    <w:p>
      <w:pPr>
        <w:pStyle w:val="6"/>
        <w:spacing w:before="0" w:beforeAutospacing="0" w:after="0" w:afterAutospacing="0" w:line="500" w:lineRule="exact"/>
        <w:ind w:firstLine="560" w:firstLineChars="200"/>
        <w:jc w:val="both"/>
        <w:rPr>
          <w:rFonts w:ascii="仿宋" w:hAnsi="仿宋" w:eastAsia="仿宋" w:cs="Times New Roman"/>
          <w:color w:val="FF0000"/>
          <w:kern w:val="2"/>
          <w:sz w:val="28"/>
          <w:szCs w:val="28"/>
        </w:rPr>
      </w:pPr>
      <w:r>
        <w:rPr>
          <w:rFonts w:hint="eastAsia" w:ascii="仿宋" w:hAnsi="仿宋" w:eastAsia="仿宋" w:cs="Times New Roman"/>
          <w:kern w:val="2"/>
          <w:sz w:val="28"/>
          <w:szCs w:val="28"/>
        </w:rPr>
        <w:t>学生到国际组织实习超过1个月的，计100分。</w:t>
      </w:r>
    </w:p>
    <w:p>
      <w:pPr>
        <w:pStyle w:val="6"/>
        <w:spacing w:before="0" w:beforeAutospacing="0" w:after="0" w:afterAutospacing="0" w:line="500" w:lineRule="exact"/>
        <w:ind w:firstLine="600" w:firstLineChars="200"/>
        <w:jc w:val="both"/>
        <w:rPr>
          <w:rFonts w:ascii="仿宋" w:hAnsi="仿宋" w:eastAsia="仿宋" w:cs="Times New Roman"/>
          <w:kern w:val="2"/>
          <w:sz w:val="28"/>
          <w:szCs w:val="28"/>
        </w:rPr>
      </w:pPr>
      <w:r>
        <w:rPr>
          <w:rFonts w:hint="eastAsia"/>
          <w:sz w:val="30"/>
          <w:szCs w:val="30"/>
        </w:rPr>
        <w:t>2</w:t>
      </w:r>
      <w:r>
        <w:rPr>
          <w:rFonts w:hint="eastAsia" w:ascii="仿宋" w:hAnsi="仿宋" w:eastAsia="仿宋" w:cs="Times New Roman"/>
          <w:kern w:val="2"/>
          <w:sz w:val="28"/>
          <w:szCs w:val="28"/>
        </w:rPr>
        <w:t>.2.10.综合荣誉等其他（Z</w:t>
      </w:r>
      <w:r>
        <w:rPr>
          <w:rFonts w:hint="eastAsia" w:ascii="仿宋" w:hAnsi="仿宋" w:eastAsia="仿宋" w:cs="Times New Roman"/>
          <w:kern w:val="2"/>
          <w:sz w:val="28"/>
          <w:szCs w:val="28"/>
          <w:vertAlign w:val="subscript"/>
        </w:rPr>
        <w:t>6</w:t>
      </w:r>
      <w:r>
        <w:rPr>
          <w:rFonts w:hint="eastAsia" w:ascii="仿宋" w:hAnsi="仿宋" w:eastAsia="仿宋" w:cs="Times New Roman"/>
          <w:kern w:val="2"/>
          <w:sz w:val="28"/>
          <w:szCs w:val="28"/>
        </w:rPr>
        <w:t>）。学生获评全国三好学生、全国优秀学生干部、中国大学生自强之星（含提名奖），山东省优秀学生干部、山东省优秀学生，青岛市百名优秀大学生等综合奖项，经遴选工作小组审核认定，计100分（国家级）、80分（省部级）和50分（地市级）。学生班集体等集体获奖的，学生个人不计分。原则上学生提交的不同类别奖项材料不超过2项（含），同类别只提交最高奖项。</w:t>
      </w:r>
    </w:p>
    <w:p>
      <w:pPr>
        <w:adjustRightInd w:val="0"/>
        <w:snapToGrid w:val="0"/>
        <w:spacing w:line="480" w:lineRule="exact"/>
        <w:ind w:firstLine="562" w:firstLineChars="200"/>
        <w:rPr>
          <w:rFonts w:ascii="仿宋" w:hAnsi="仿宋" w:eastAsia="仿宋"/>
          <w:b/>
          <w:sz w:val="28"/>
          <w:szCs w:val="28"/>
        </w:rPr>
      </w:pPr>
      <w:r>
        <w:rPr>
          <w:rFonts w:hint="eastAsia" w:ascii="仿宋" w:hAnsi="仿宋" w:eastAsia="仿宋"/>
          <w:b/>
          <w:sz w:val="28"/>
          <w:szCs w:val="28"/>
        </w:rPr>
        <w:t>2</w:t>
      </w:r>
      <w:r>
        <w:rPr>
          <w:rFonts w:ascii="仿宋" w:hAnsi="仿宋" w:eastAsia="仿宋"/>
          <w:b/>
          <w:sz w:val="28"/>
          <w:szCs w:val="28"/>
        </w:rPr>
        <w:t>.3</w:t>
      </w:r>
      <w:r>
        <w:rPr>
          <w:rFonts w:hint="eastAsia" w:ascii="仿宋" w:hAnsi="仿宋" w:eastAsia="仿宋"/>
          <w:b/>
          <w:sz w:val="28"/>
          <w:szCs w:val="28"/>
        </w:rPr>
        <w:t>外语水平成绩要求</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2.3.1</w:t>
      </w:r>
      <w:r>
        <w:rPr>
          <w:rFonts w:hint="eastAsia" w:ascii="仿宋" w:hAnsi="仿宋" w:eastAsia="仿宋"/>
          <w:sz w:val="28"/>
          <w:szCs w:val="28"/>
        </w:rPr>
        <w:t>全国大学英语四级考试成绩≥460分，或六级成绩≥425分，或TOFEL成绩≥75分（两年有效），或GRE考试成绩≥295分（五年有效），或雅思考试成绩≥5.5分，或PETS-5考试成绩≥60分（以上均需提供成绩证明）。</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2.3.2</w:t>
      </w:r>
      <w:r>
        <w:rPr>
          <w:rFonts w:hint="eastAsia" w:ascii="仿宋" w:hAnsi="仿宋" w:eastAsia="仿宋"/>
          <w:sz w:val="28"/>
          <w:szCs w:val="28"/>
        </w:rPr>
        <w:t>第一外语为其它语种，需提供等同全国大学外语四、六级考试证明成绩证明。</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2.3.3</w:t>
      </w:r>
      <w:r>
        <w:rPr>
          <w:rFonts w:hint="eastAsia" w:ascii="仿宋" w:hAnsi="仿宋" w:eastAsia="仿宋"/>
          <w:sz w:val="28"/>
          <w:szCs w:val="28"/>
        </w:rPr>
        <w:t>外语成绩证明应于当年9月1日前获得。</w:t>
      </w:r>
    </w:p>
    <w:p>
      <w:pPr>
        <w:adjustRightInd w:val="0"/>
        <w:snapToGrid w:val="0"/>
        <w:spacing w:line="480" w:lineRule="exact"/>
        <w:ind w:firstLine="562" w:firstLineChars="200"/>
        <w:rPr>
          <w:rFonts w:ascii="仿宋" w:hAnsi="仿宋" w:eastAsia="仿宋"/>
          <w:b/>
          <w:sz w:val="28"/>
          <w:szCs w:val="28"/>
        </w:rPr>
      </w:pPr>
      <w:r>
        <w:rPr>
          <w:rFonts w:hint="eastAsia" w:ascii="仿宋" w:hAnsi="仿宋" w:eastAsia="仿宋"/>
          <w:b/>
          <w:sz w:val="28"/>
          <w:szCs w:val="28"/>
        </w:rPr>
        <w:t>（二）</w:t>
      </w:r>
      <w:r>
        <w:rPr>
          <w:rFonts w:ascii="仿宋" w:hAnsi="仿宋" w:eastAsia="仿宋"/>
          <w:b/>
          <w:sz w:val="28"/>
          <w:szCs w:val="28"/>
        </w:rPr>
        <w:t>推荐工作程序</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1.制定学院实施细则。根据学校办法及推荐工作部署，</w:t>
      </w:r>
      <w:r>
        <w:rPr>
          <w:rFonts w:ascii="仿宋" w:hAnsi="仿宋" w:eastAsia="仿宋"/>
          <w:sz w:val="28"/>
          <w:szCs w:val="28"/>
        </w:rPr>
        <w:t>9</w:t>
      </w:r>
      <w:r>
        <w:rPr>
          <w:rFonts w:hint="eastAsia" w:ascii="仿宋" w:hAnsi="仿宋" w:eastAsia="仿宋"/>
          <w:sz w:val="28"/>
          <w:szCs w:val="28"/>
        </w:rPr>
        <w:t>月1</w:t>
      </w:r>
      <w:r>
        <w:rPr>
          <w:rFonts w:ascii="仿宋" w:hAnsi="仿宋" w:eastAsia="仿宋"/>
          <w:sz w:val="28"/>
          <w:szCs w:val="28"/>
        </w:rPr>
        <w:t>3</w:t>
      </w:r>
      <w:r>
        <w:rPr>
          <w:rFonts w:hint="eastAsia" w:ascii="仿宋" w:hAnsi="仿宋" w:eastAsia="仿宋"/>
          <w:sz w:val="28"/>
          <w:szCs w:val="28"/>
        </w:rPr>
        <w:t>日前学院制定推免工作实施细则，并及时在学院网站上公示。</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2.学生个人申请。符合申请条件的学生，由本人9月1</w:t>
      </w:r>
      <w:r>
        <w:rPr>
          <w:rFonts w:ascii="仿宋" w:hAnsi="仿宋" w:eastAsia="仿宋"/>
          <w:sz w:val="28"/>
          <w:szCs w:val="28"/>
        </w:rPr>
        <w:t>5</w:t>
      </w:r>
      <w:r>
        <w:rPr>
          <w:rFonts w:hint="eastAsia" w:ascii="仿宋" w:hAnsi="仿宋" w:eastAsia="仿宋"/>
          <w:sz w:val="28"/>
          <w:szCs w:val="28"/>
        </w:rPr>
        <w:t>日前向学院提出申请，提交学生须提交推免生申请表、成绩单（教务处公章，原件及PDF扫描件）、承诺书、学术专长的教授推荐信及相关证明材料、服兵役等其它加分证明材料。</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申请时学生的专业身份变化未满一学期者，向原所在学院提出申请。</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申请时应提交书面承诺，保证在确认招生单位的“待录取”通知后不擅自放弃，如擅自放弃，作为不诚信记录记入个人档案。</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申请推免学生如有非直系亲属参加本人所在学院推免遴选工作，还须提交《青岛理工大学推免工作报备表》。</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9</w:t>
      </w:r>
      <w:r>
        <w:rPr>
          <w:rFonts w:hint="eastAsia" w:ascii="仿宋" w:hAnsi="仿宋" w:eastAsia="仿宋"/>
          <w:sz w:val="28"/>
          <w:szCs w:val="28"/>
        </w:rPr>
        <w:t>月1</w:t>
      </w:r>
      <w:r>
        <w:rPr>
          <w:rFonts w:ascii="仿宋" w:hAnsi="仿宋" w:eastAsia="仿宋"/>
          <w:sz w:val="28"/>
          <w:szCs w:val="28"/>
        </w:rPr>
        <w:t>6</w:t>
      </w:r>
      <w:r>
        <w:rPr>
          <w:rFonts w:hint="eastAsia" w:ascii="仿宋" w:hAnsi="仿宋" w:eastAsia="仿宋"/>
          <w:sz w:val="28"/>
          <w:szCs w:val="28"/>
        </w:rPr>
        <w:t>日，学院会同学生处、团委、保卫处、教务处等对申请推免学生的资格和提交相关证明材料进行初审，初审通过的学生名单及相关信息要在学院网站上公布。</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4.学院审核认定申请推免资格学生的特殊学术专长：</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（1）学院代表学校组织成立专家审核小组（专家</w:t>
      </w:r>
      <w:r>
        <w:rPr>
          <w:rFonts w:ascii="仿宋" w:hAnsi="仿宋" w:eastAsia="仿宋"/>
          <w:sz w:val="28"/>
          <w:szCs w:val="28"/>
        </w:rPr>
        <w:t>组成员</w:t>
      </w:r>
      <w:r>
        <w:rPr>
          <w:rFonts w:hint="eastAsia" w:ascii="仿宋" w:hAnsi="仿宋" w:eastAsia="仿宋"/>
          <w:sz w:val="28"/>
          <w:szCs w:val="28"/>
        </w:rPr>
        <w:t>应具有相关的学科专业</w:t>
      </w:r>
      <w:r>
        <w:rPr>
          <w:rFonts w:ascii="仿宋" w:hAnsi="仿宋" w:eastAsia="仿宋"/>
          <w:sz w:val="28"/>
          <w:szCs w:val="28"/>
        </w:rPr>
        <w:t>具有</w:t>
      </w:r>
      <w:r>
        <w:rPr>
          <w:rFonts w:hint="eastAsia" w:ascii="仿宋" w:hAnsi="仿宋" w:eastAsia="仿宋"/>
          <w:sz w:val="28"/>
          <w:szCs w:val="28"/>
        </w:rPr>
        <w:t>副教授以上职称，且</w:t>
      </w:r>
      <w:r>
        <w:rPr>
          <w:rFonts w:ascii="仿宋" w:hAnsi="仿宋" w:eastAsia="仿宋"/>
          <w:sz w:val="28"/>
          <w:szCs w:val="28"/>
        </w:rPr>
        <w:t>不少于</w:t>
      </w:r>
      <w:r>
        <w:rPr>
          <w:rFonts w:hint="eastAsia" w:ascii="仿宋" w:hAnsi="仿宋" w:eastAsia="仿宋"/>
          <w:sz w:val="28"/>
          <w:szCs w:val="28"/>
        </w:rPr>
        <w:t>5人），对申请推免资格学生的科研成果（论文）、竞赛获奖及内容进行审核鉴定，排除抄袭、造假、冒名及有名无实等情况。</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）对学生提交的代表性科研成果进行评价。</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）对申请推免资格学生的每个特殊专长项目，专家审核小组及每位成员都要给出明确的审核鉴定意见并签字存档。</w:t>
      </w:r>
      <w:r>
        <w:rPr>
          <w:rFonts w:ascii="仿宋" w:hAnsi="仿宋" w:eastAsia="仿宋"/>
          <w:sz w:val="28"/>
          <w:szCs w:val="28"/>
        </w:rPr>
        <w:t>有三分之一</w:t>
      </w:r>
      <w:r>
        <w:rPr>
          <w:rFonts w:hint="eastAsia" w:ascii="仿宋" w:hAnsi="仿宋" w:eastAsia="仿宋"/>
          <w:sz w:val="28"/>
          <w:szCs w:val="28"/>
        </w:rPr>
        <w:t>及</w:t>
      </w:r>
      <w:r>
        <w:rPr>
          <w:rFonts w:ascii="仿宋" w:hAnsi="仿宋" w:eastAsia="仿宋"/>
          <w:sz w:val="28"/>
          <w:szCs w:val="28"/>
        </w:rPr>
        <w:t>以上专家小组成员认定学生所提交的科研</w:t>
      </w:r>
      <w:r>
        <w:rPr>
          <w:rFonts w:hint="eastAsia" w:ascii="仿宋" w:hAnsi="仿宋" w:eastAsia="仿宋"/>
          <w:sz w:val="28"/>
          <w:szCs w:val="28"/>
        </w:rPr>
        <w:t>成果（</w:t>
      </w:r>
      <w:r>
        <w:rPr>
          <w:rFonts w:ascii="仿宋" w:hAnsi="仿宋" w:eastAsia="仿宋"/>
          <w:sz w:val="28"/>
          <w:szCs w:val="28"/>
        </w:rPr>
        <w:t>论文）、竞赛获奖奖项及内容存在抄袭、造假、冒名及有名无实等情况，则取消其申请资格，按照学校学术不端相关文件给予相应处理。</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.9</w:t>
      </w:r>
      <w:r>
        <w:rPr>
          <w:rFonts w:hint="eastAsia" w:ascii="仿宋" w:hAnsi="仿宋" w:eastAsia="仿宋"/>
          <w:sz w:val="28"/>
          <w:szCs w:val="28"/>
        </w:rPr>
        <w:t>月1</w:t>
      </w:r>
      <w:r>
        <w:rPr>
          <w:rFonts w:ascii="仿宋" w:hAnsi="仿宋" w:eastAsia="仿宋"/>
          <w:sz w:val="28"/>
          <w:szCs w:val="28"/>
        </w:rPr>
        <w:t>7</w:t>
      </w:r>
      <w:r>
        <w:rPr>
          <w:rFonts w:hint="eastAsia" w:ascii="仿宋" w:hAnsi="仿宋" w:eastAsia="仿宋"/>
          <w:sz w:val="28"/>
          <w:szCs w:val="28"/>
        </w:rPr>
        <w:t>日学院根据各专业推免名额，依据申请推免资格学生的平均素质评价成绩按专业由高到低顺序确定拟推荐名单，按推免名额0.5倍的比例确定候补名单，候补名额四舍五入取整（推免名额为1人的专业候补名额进位取整），并在备注中注明“候补1”、“候补2”、“候补3”…等字样，按要求报送研究生处，并及时在学院网站上公示。</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.9</w:t>
      </w:r>
      <w:r>
        <w:rPr>
          <w:rFonts w:hint="eastAsia" w:ascii="仿宋" w:hAnsi="仿宋" w:eastAsia="仿宋"/>
          <w:sz w:val="28"/>
          <w:szCs w:val="28"/>
        </w:rPr>
        <w:t>月1</w:t>
      </w:r>
      <w:r>
        <w:rPr>
          <w:rFonts w:ascii="仿宋" w:hAnsi="仿宋" w:eastAsia="仿宋"/>
          <w:sz w:val="28"/>
          <w:szCs w:val="28"/>
        </w:rPr>
        <w:t>8</w:t>
      </w:r>
      <w:r>
        <w:rPr>
          <w:rFonts w:hint="eastAsia" w:ascii="仿宋" w:hAnsi="仿宋" w:eastAsia="仿宋"/>
          <w:sz w:val="28"/>
          <w:szCs w:val="28"/>
        </w:rPr>
        <w:t>日，学校推免领导小组审定拟推荐名单，经以书面或会议形式以向校党委会研究确定后在教务处网站公示拟推荐名单，公示期为10个工作日。教务处通过推免服务系统，将学校拟推荐名单上报省教育招生考试院审核。</w:t>
      </w:r>
    </w:p>
    <w:p>
      <w:pPr>
        <w:adjustRightInd w:val="0"/>
        <w:snapToGrid w:val="0"/>
        <w:spacing w:line="480" w:lineRule="exact"/>
        <w:ind w:firstLine="560" w:firstLineChars="200"/>
        <w:jc w:val="left"/>
        <w:rPr>
          <w:rFonts w:ascii="仿宋" w:hAnsi="仿宋" w:eastAsia="仿宋"/>
          <w:sz w:val="28"/>
          <w:szCs w:val="28"/>
        </w:rPr>
      </w:pPr>
      <w:r>
        <w:rPr>
          <w:rFonts w:ascii="仿宋" w:hAnsi="仿宋" w:eastAsia="仿宋"/>
          <w:sz w:val="28"/>
          <w:szCs w:val="28"/>
        </w:rPr>
        <w:t>7.9</w:t>
      </w:r>
      <w:r>
        <w:rPr>
          <w:rFonts w:hint="eastAsia" w:ascii="仿宋" w:hAnsi="仿宋" w:eastAsia="仿宋"/>
          <w:sz w:val="28"/>
          <w:szCs w:val="28"/>
        </w:rPr>
        <w:t>月2</w:t>
      </w:r>
      <w:r>
        <w:rPr>
          <w:rFonts w:ascii="仿宋" w:hAnsi="仿宋" w:eastAsia="仿宋"/>
          <w:sz w:val="28"/>
          <w:szCs w:val="28"/>
        </w:rPr>
        <w:t>4</w:t>
      </w:r>
      <w:r>
        <w:rPr>
          <w:rFonts w:hint="eastAsia" w:ascii="仿宋" w:hAnsi="仿宋" w:eastAsia="仿宋"/>
          <w:sz w:val="28"/>
          <w:szCs w:val="28"/>
        </w:rPr>
        <w:t>日，获得推免资格的学生须在规定时间内登录推免服务系统完成注册并缴费。</w:t>
      </w:r>
    </w:p>
    <w:p>
      <w:pPr>
        <w:adjustRightInd w:val="0"/>
        <w:snapToGrid w:val="0"/>
        <w:spacing w:beforeLines="50" w:afterLines="50" w:line="480" w:lineRule="exact"/>
        <w:ind w:firstLine="562" w:firstLineChars="200"/>
        <w:rPr>
          <w:rFonts w:ascii="黑体" w:hAnsi="黑体" w:eastAsia="黑体"/>
          <w:b/>
          <w:sz w:val="28"/>
          <w:szCs w:val="28"/>
        </w:rPr>
      </w:pPr>
      <w:r>
        <w:rPr>
          <w:rFonts w:hint="eastAsia" w:ascii="黑体" w:hAnsi="黑体" w:eastAsia="黑体"/>
          <w:b/>
          <w:sz w:val="28"/>
          <w:szCs w:val="28"/>
        </w:rPr>
        <w:t>四</w:t>
      </w:r>
      <w:r>
        <w:rPr>
          <w:rFonts w:ascii="黑体" w:hAnsi="黑体" w:eastAsia="黑体"/>
          <w:b/>
          <w:sz w:val="28"/>
          <w:szCs w:val="28"/>
        </w:rPr>
        <w:t>、</w:t>
      </w:r>
      <w:r>
        <w:rPr>
          <w:rFonts w:hint="eastAsia" w:ascii="黑体" w:hAnsi="黑体" w:eastAsia="黑体"/>
          <w:b/>
          <w:sz w:val="28"/>
          <w:szCs w:val="28"/>
        </w:rPr>
        <w:t>监督管理</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一）严查学术不端、造假等违规违纪行为。对推免过程中弄虚作假，提交学术专长证明材料存在抄袭、造假、冒名及有名无实等不端行为的学生，一经查实立即取消推免生资格，并报山东省教育招生考试院按规定计入《国家考试考生诚信档案》，视情节暂停参加全国硕士研究生招生考试1-3年，并严格按照学校管理规定严肃处理。</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（二）获得推免生资格的学生，在正式入学前，有以下情况之一者，学校将取消其推免生资格：</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1.不能按时完成本科阶段学业并取得学士学位者。</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2.受到法律、行政处罚或学校纪律处分者。</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3.凡在申请推免生过程中弄虚作假的学生，一经查实，即取消推免生资格，并按学校相关管理规定进行追究处理。</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（三）推免生工作全程接受学校纪检与监察部门监督。</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1.学校推免生工作领导小组和各学院推免生工作小组应将推免生工作中学生的申诉，纳入校内申诉渠道，确保推免生工作公开、公平、公正地进行。</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学院推免工作举办受理电话及邮箱：</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电话：0532-85071261，邮箱:</w:t>
      </w:r>
      <w:r>
        <w:t xml:space="preserve"> </w:t>
      </w:r>
      <w:r>
        <w:rPr>
          <w:rFonts w:ascii="仿宋" w:hAnsi="仿宋" w:eastAsia="仿宋"/>
          <w:sz w:val="28"/>
          <w:szCs w:val="28"/>
        </w:rPr>
        <w:t>hjcollege@qut.edu.cn</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学校推免工作举报受理电话及邮箱：</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纪委（监察专员办公室），电话：</w:t>
      </w:r>
      <w:r>
        <w:rPr>
          <w:rFonts w:ascii="仿宋" w:hAnsi="仿宋" w:eastAsia="仿宋"/>
          <w:sz w:val="28"/>
          <w:szCs w:val="28"/>
        </w:rPr>
        <w:t>0532-85071099，</w:t>
      </w:r>
      <w:r>
        <w:rPr>
          <w:rFonts w:hint="eastAsia" w:ascii="仿宋" w:hAnsi="仿宋" w:eastAsia="仿宋"/>
          <w:sz w:val="28"/>
          <w:szCs w:val="28"/>
        </w:rPr>
        <w:t>邮箱</w:t>
      </w:r>
      <w:r>
        <w:rPr>
          <w:rFonts w:ascii="仿宋" w:hAnsi="仿宋" w:eastAsia="仿宋"/>
          <w:sz w:val="28"/>
          <w:szCs w:val="28"/>
        </w:rPr>
        <w:t>:jiwei@qut.edu.cn</w:t>
      </w:r>
    </w:p>
    <w:p>
      <w:pPr>
        <w:spacing w:line="560" w:lineRule="exact"/>
        <w:ind w:firstLine="560" w:firstLineChars="200"/>
        <w:jc w:val="left"/>
        <w:rPr>
          <w:rFonts w:hint="eastAsia" w:ascii="仿宋" w:hAnsi="仿宋" w:eastAsia="仿宋"/>
          <w:sz w:val="28"/>
          <w:szCs w:val="28"/>
          <w:lang w:eastAsia="zh-CN"/>
        </w:rPr>
      </w:pPr>
      <w:r>
        <w:rPr>
          <w:rFonts w:hint="eastAsia" w:ascii="仿宋" w:hAnsi="仿宋" w:eastAsia="仿宋"/>
          <w:sz w:val="28"/>
          <w:szCs w:val="28"/>
        </w:rPr>
        <w:t>教务处专业与课程建设科，电话：</w:t>
      </w:r>
      <w:r>
        <w:rPr>
          <w:rFonts w:ascii="仿宋" w:hAnsi="仿宋" w:eastAsia="仿宋"/>
          <w:sz w:val="28"/>
          <w:szCs w:val="28"/>
        </w:rPr>
        <w:t>0532-</w:t>
      </w:r>
      <w:r>
        <w:rPr>
          <w:rFonts w:hint="eastAsia" w:ascii="仿宋" w:hAnsi="仿宋" w:eastAsia="仿宋"/>
          <w:sz w:val="28"/>
          <w:szCs w:val="28"/>
        </w:rPr>
        <w:t>68052229</w:t>
      </w:r>
      <w:r>
        <w:rPr>
          <w:rFonts w:ascii="仿宋" w:hAnsi="仿宋" w:eastAsia="仿宋"/>
          <w:sz w:val="28"/>
          <w:szCs w:val="28"/>
        </w:rPr>
        <w:t>，</w:t>
      </w:r>
      <w:r>
        <w:rPr>
          <w:rFonts w:hint="eastAsia" w:ascii="仿宋" w:hAnsi="仿宋" w:eastAsia="仿宋"/>
          <w:sz w:val="28"/>
          <w:szCs w:val="28"/>
        </w:rPr>
        <w:t>邮箱</w:t>
      </w:r>
      <w:r>
        <w:rPr>
          <w:rFonts w:ascii="仿宋" w:hAnsi="仿宋" w:eastAsia="仿宋"/>
          <w:sz w:val="28"/>
          <w:szCs w:val="28"/>
        </w:rPr>
        <w:t>:</w:t>
      </w:r>
      <w:r>
        <w:rPr>
          <w:rFonts w:hint="eastAsia" w:ascii="仿宋" w:hAnsi="仿宋" w:eastAsia="仿宋"/>
          <w:sz w:val="28"/>
          <w:szCs w:val="28"/>
          <w:lang w:val="en-US" w:eastAsia="zh-CN"/>
        </w:rPr>
        <w:t>jwch</w:t>
      </w:r>
      <w:r>
        <w:rPr>
          <w:rFonts w:ascii="仿宋" w:hAnsi="仿宋" w:eastAsia="仿宋"/>
          <w:sz w:val="28"/>
          <w:szCs w:val="28"/>
        </w:rPr>
        <w:t>@</w:t>
      </w:r>
      <w:r>
        <w:rPr>
          <w:rFonts w:hint="eastAsia" w:ascii="仿宋" w:hAnsi="仿宋" w:eastAsia="仿宋"/>
          <w:sz w:val="28"/>
          <w:szCs w:val="28"/>
          <w:lang w:val="en-US" w:eastAsia="zh-CN"/>
        </w:rPr>
        <w:t>qut.edu</w:t>
      </w:r>
      <w:r>
        <w:rPr>
          <w:rFonts w:hint="eastAsia" w:ascii="仿宋" w:hAnsi="仿宋" w:eastAsia="仿宋"/>
          <w:sz w:val="28"/>
          <w:szCs w:val="28"/>
        </w:rPr>
        <w:t>.c</w:t>
      </w:r>
      <w:r>
        <w:rPr>
          <w:rFonts w:hint="eastAsia" w:ascii="仿宋" w:hAnsi="仿宋" w:eastAsia="仿宋"/>
          <w:sz w:val="28"/>
          <w:szCs w:val="28"/>
          <w:lang w:val="en-US" w:eastAsia="zh-CN"/>
        </w:rPr>
        <w:t>n</w:t>
      </w:r>
      <w:bookmarkStart w:id="0" w:name="_GoBack"/>
      <w:bookmarkEnd w:id="0"/>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2.学生对推免生工作提出申诉，应按青岛理工大学学生校内申诉管理办法（修订）（青理工校发〔2017〕8号）有关规定和流程进行。</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五、未</w:t>
      </w:r>
      <w:r>
        <w:rPr>
          <w:rFonts w:ascii="仿宋" w:hAnsi="仿宋" w:eastAsia="仿宋"/>
          <w:sz w:val="28"/>
          <w:szCs w:val="28"/>
        </w:rPr>
        <w:t>尽事宜</w:t>
      </w:r>
      <w:r>
        <w:rPr>
          <w:rFonts w:hint="eastAsia" w:ascii="仿宋" w:hAnsi="仿宋" w:eastAsia="仿宋"/>
          <w:sz w:val="28"/>
          <w:szCs w:val="28"/>
        </w:rPr>
        <w:t>按照</w:t>
      </w:r>
      <w:r>
        <w:rPr>
          <w:rFonts w:ascii="仿宋" w:hAnsi="仿宋" w:eastAsia="仿宋"/>
          <w:sz w:val="28"/>
          <w:szCs w:val="28"/>
        </w:rPr>
        <w:t>学校相关政策执行。</w:t>
      </w:r>
      <w:r>
        <w:rPr>
          <w:rFonts w:hint="eastAsia" w:ascii="仿宋" w:hAnsi="仿宋" w:eastAsia="仿宋"/>
          <w:sz w:val="28"/>
          <w:szCs w:val="28"/>
        </w:rPr>
        <w:t>本实施细则若与上级文件或学校</w:t>
      </w:r>
      <w:r>
        <w:rPr>
          <w:rFonts w:ascii="仿宋" w:hAnsi="仿宋" w:eastAsia="仿宋"/>
          <w:sz w:val="28"/>
          <w:szCs w:val="28"/>
        </w:rPr>
        <w:t>2022年推免政策</w:t>
      </w:r>
      <w:r>
        <w:rPr>
          <w:rFonts w:hint="eastAsia" w:ascii="仿宋" w:hAnsi="仿宋" w:eastAsia="仿宋"/>
          <w:sz w:val="28"/>
          <w:szCs w:val="28"/>
        </w:rPr>
        <w:t>相冲突，按上级文件或学校</w:t>
      </w:r>
      <w:r>
        <w:rPr>
          <w:rFonts w:ascii="仿宋" w:hAnsi="仿宋" w:eastAsia="仿宋"/>
          <w:sz w:val="28"/>
          <w:szCs w:val="28"/>
        </w:rPr>
        <w:t>2022年推免政策</w:t>
      </w:r>
      <w:r>
        <w:rPr>
          <w:rFonts w:hint="eastAsia" w:ascii="仿宋" w:hAnsi="仿宋" w:eastAsia="仿宋"/>
          <w:sz w:val="28"/>
          <w:szCs w:val="28"/>
        </w:rPr>
        <w:t>执行。</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六、本细则由学院推免生遴选工作小组负责解释。</w:t>
      </w:r>
    </w:p>
    <w:p>
      <w:pPr>
        <w:spacing w:line="560" w:lineRule="exact"/>
        <w:ind w:firstLine="560" w:firstLineChars="200"/>
        <w:jc w:val="left"/>
        <w:rPr>
          <w:rFonts w:ascii="仿宋" w:hAnsi="仿宋" w:eastAsia="仿宋"/>
          <w:sz w:val="28"/>
          <w:szCs w:val="28"/>
        </w:rPr>
      </w:pPr>
    </w:p>
    <w:p>
      <w:pPr>
        <w:widowControl/>
        <w:spacing w:line="480" w:lineRule="exact"/>
        <w:jc w:val="left"/>
        <w:rPr>
          <w:b/>
          <w:sz w:val="24"/>
        </w:rPr>
      </w:pPr>
      <w:r>
        <w:rPr>
          <w:rFonts w:hint="eastAsia" w:ascii="仿宋" w:hAnsi="仿宋" w:eastAsia="仿宋"/>
          <w:b/>
          <w:bCs/>
          <w:sz w:val="28"/>
          <w:szCs w:val="28"/>
        </w:rPr>
        <w:t>附</w:t>
      </w:r>
      <w:r>
        <w:rPr>
          <w:rFonts w:ascii="仿宋" w:hAnsi="仿宋" w:eastAsia="仿宋"/>
          <w:b/>
          <w:bCs/>
          <w:sz w:val="28"/>
          <w:szCs w:val="28"/>
        </w:rPr>
        <w:t>件：</w:t>
      </w:r>
      <w:r>
        <w:rPr>
          <w:rFonts w:hint="eastAsia"/>
          <w:b/>
          <w:sz w:val="24"/>
        </w:rPr>
        <w:t>青岛理工大学应届本科毕业生科技创新成果认定标准及办法。</w:t>
      </w:r>
    </w:p>
    <w:p>
      <w:pPr>
        <w:adjustRightInd w:val="0"/>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adjustRightInd w:val="0"/>
        <w:snapToGrid w:val="0"/>
        <w:spacing w:line="480" w:lineRule="exact"/>
        <w:ind w:firstLine="560" w:firstLineChars="200"/>
        <w:jc w:val="left"/>
        <w:rPr>
          <w:rFonts w:ascii="仿宋" w:hAnsi="仿宋" w:eastAsia="仿宋"/>
          <w:sz w:val="28"/>
          <w:szCs w:val="28"/>
        </w:rPr>
      </w:pPr>
    </w:p>
    <w:p>
      <w:pPr>
        <w:adjustRightInd w:val="0"/>
        <w:snapToGrid w:val="0"/>
        <w:spacing w:line="480" w:lineRule="exact"/>
        <w:ind w:firstLine="560" w:firstLineChars="200"/>
        <w:jc w:val="right"/>
        <w:rPr>
          <w:rFonts w:ascii="仿宋" w:hAnsi="仿宋" w:eastAsia="仿宋"/>
          <w:sz w:val="28"/>
          <w:szCs w:val="28"/>
        </w:rPr>
      </w:pPr>
      <w:r>
        <w:rPr>
          <w:rFonts w:hint="eastAsia" w:ascii="仿宋" w:hAnsi="仿宋" w:eastAsia="仿宋"/>
          <w:sz w:val="28"/>
          <w:szCs w:val="28"/>
        </w:rPr>
        <w:t>环境与市政工程学院</w:t>
      </w:r>
    </w:p>
    <w:p>
      <w:pPr>
        <w:adjustRightInd w:val="0"/>
        <w:snapToGrid w:val="0"/>
        <w:spacing w:line="480" w:lineRule="exact"/>
        <w:ind w:firstLine="560" w:firstLineChars="200"/>
        <w:jc w:val="righ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2021</w:t>
      </w:r>
      <w:r>
        <w:rPr>
          <w:rFonts w:hint="eastAsia" w:ascii="仿宋" w:hAnsi="仿宋" w:eastAsia="仿宋"/>
          <w:sz w:val="28"/>
          <w:szCs w:val="28"/>
        </w:rPr>
        <w:t>年</w:t>
      </w:r>
      <w:r>
        <w:rPr>
          <w:rFonts w:ascii="仿宋" w:hAnsi="仿宋" w:eastAsia="仿宋"/>
          <w:sz w:val="28"/>
          <w:szCs w:val="28"/>
        </w:rPr>
        <w:t>9</w:t>
      </w:r>
      <w:r>
        <w:rPr>
          <w:rFonts w:hint="eastAsia" w:ascii="仿宋" w:hAnsi="仿宋" w:eastAsia="仿宋"/>
          <w:sz w:val="28"/>
          <w:szCs w:val="28"/>
        </w:rPr>
        <w:t>月</w:t>
      </w:r>
      <w:r>
        <w:rPr>
          <w:rFonts w:ascii="仿宋" w:hAnsi="仿宋" w:eastAsia="仿宋"/>
          <w:sz w:val="28"/>
          <w:szCs w:val="28"/>
        </w:rPr>
        <w:t>12</w:t>
      </w:r>
      <w:r>
        <w:rPr>
          <w:rFonts w:hint="eastAsia" w:ascii="仿宋" w:hAnsi="仿宋" w:eastAsia="仿宋"/>
          <w:sz w:val="28"/>
          <w:szCs w:val="28"/>
        </w:rPr>
        <w:t>日</w:t>
      </w:r>
    </w:p>
    <w:p>
      <w:pPr>
        <w:widowControl/>
        <w:spacing w:line="480" w:lineRule="exact"/>
        <w:jc w:val="left"/>
        <w:rPr>
          <w:b/>
          <w:sz w:val="24"/>
        </w:rPr>
      </w:pPr>
      <w:r>
        <w:rPr>
          <w:rFonts w:eastAsia="仿宋_GB2312"/>
          <w:sz w:val="28"/>
          <w:szCs w:val="28"/>
        </w:rPr>
        <w:br w:type="page"/>
      </w:r>
    </w:p>
    <w:p>
      <w:pPr>
        <w:widowControl/>
        <w:spacing w:line="480" w:lineRule="exact"/>
        <w:jc w:val="left"/>
        <w:rPr>
          <w:b/>
          <w:sz w:val="24"/>
        </w:rPr>
      </w:pPr>
      <w:r>
        <w:rPr>
          <w:rFonts w:hint="eastAsia"/>
          <w:b/>
          <w:sz w:val="24"/>
        </w:rPr>
        <w:t>附件：</w:t>
      </w:r>
    </w:p>
    <w:p>
      <w:pPr>
        <w:widowControl/>
        <w:spacing w:line="480" w:lineRule="exact"/>
        <w:jc w:val="center"/>
        <w:rPr>
          <w:rFonts w:ascii="黑体" w:hAnsi="黑体" w:eastAsia="黑体" w:cs="黑体"/>
          <w:bCs/>
          <w:sz w:val="28"/>
          <w:szCs w:val="28"/>
        </w:rPr>
      </w:pPr>
      <w:r>
        <w:rPr>
          <w:rFonts w:hint="eastAsia" w:ascii="黑体" w:hAnsi="黑体" w:eastAsia="黑体" w:cs="黑体"/>
          <w:bCs/>
          <w:sz w:val="28"/>
          <w:szCs w:val="28"/>
        </w:rPr>
        <w:t>青岛理工大学应届本科毕业生科技创新成果认定标准及办法</w:t>
      </w:r>
    </w:p>
    <w:p>
      <w:pPr>
        <w:widowControl/>
        <w:spacing w:line="480" w:lineRule="exact"/>
        <w:ind w:firstLine="480" w:firstLineChars="200"/>
        <w:jc w:val="left"/>
        <w:rPr>
          <w:bCs/>
          <w:sz w:val="24"/>
        </w:rPr>
      </w:pPr>
      <w:r>
        <w:rPr>
          <w:rFonts w:hint="eastAsia"/>
          <w:bCs/>
          <w:sz w:val="24"/>
        </w:rPr>
        <w:t>根据上级有关推荐优秀应届本科毕业生免试攻读研究生（以下简称推免生）工作的相关文件精神，为进一步严格审核认定推免生科技创新成果，特制定本认定标准及办法。</w:t>
      </w:r>
    </w:p>
    <w:p>
      <w:pPr>
        <w:widowControl/>
        <w:spacing w:line="480" w:lineRule="exact"/>
        <w:ind w:firstLine="482" w:firstLineChars="200"/>
        <w:jc w:val="left"/>
        <w:rPr>
          <w:b/>
          <w:sz w:val="24"/>
        </w:rPr>
      </w:pPr>
      <w:r>
        <w:rPr>
          <w:rFonts w:hint="eastAsia"/>
          <w:b/>
          <w:sz w:val="24"/>
        </w:rPr>
        <w:t>一、认定标准</w:t>
      </w:r>
    </w:p>
    <w:p>
      <w:pPr>
        <w:widowControl/>
        <w:spacing w:line="480" w:lineRule="exact"/>
        <w:ind w:firstLine="480" w:firstLineChars="200"/>
        <w:jc w:val="left"/>
        <w:rPr>
          <w:bCs/>
          <w:sz w:val="24"/>
        </w:rPr>
      </w:pPr>
      <w:r>
        <w:rPr>
          <w:rFonts w:hint="eastAsia"/>
          <w:bCs/>
          <w:sz w:val="24"/>
        </w:rPr>
        <w:t>（一）推免生科技创新成果仅限申请推免资格学生本科阶段在核心期刊上以独立作者或第一作者发表的与学业相关的科研论文；作为主力成员参加与学业相关的国内权威科研竞赛（全国赛）并获得三等奖以上奖励（国际赛事参照执行，但不得低于内赛事相关要求）。</w:t>
      </w:r>
    </w:p>
    <w:p>
      <w:pPr>
        <w:widowControl/>
        <w:spacing w:line="480" w:lineRule="exact"/>
        <w:ind w:firstLine="480" w:firstLineChars="200"/>
        <w:jc w:val="left"/>
        <w:rPr>
          <w:bCs/>
          <w:sz w:val="24"/>
        </w:rPr>
      </w:pPr>
      <w:r>
        <w:rPr>
          <w:rFonts w:hint="eastAsia"/>
          <w:bCs/>
          <w:sz w:val="24"/>
        </w:rPr>
        <w:t>（二）申请推免资格学生与直系亲属或学历、职称、职务明显高于本人者合作的科研成果、竞赛奖项等仅作为参考，不纳入学生本人推免遴选综合评价成绩计算体系，同等条件下可优先考</w:t>
      </w:r>
    </w:p>
    <w:p>
      <w:pPr>
        <w:widowControl/>
        <w:spacing w:line="480" w:lineRule="exact"/>
        <w:jc w:val="left"/>
        <w:rPr>
          <w:bCs/>
          <w:sz w:val="24"/>
        </w:rPr>
      </w:pPr>
      <w:r>
        <w:rPr>
          <w:rFonts w:hint="eastAsia"/>
          <w:bCs/>
          <w:sz w:val="24"/>
        </w:rPr>
        <w:t>虑。</w:t>
      </w:r>
    </w:p>
    <w:p>
      <w:pPr>
        <w:widowControl/>
        <w:spacing w:line="480" w:lineRule="exact"/>
        <w:ind w:firstLine="482" w:firstLineChars="200"/>
        <w:jc w:val="left"/>
        <w:rPr>
          <w:b/>
          <w:sz w:val="24"/>
        </w:rPr>
      </w:pPr>
      <w:r>
        <w:rPr>
          <w:rFonts w:hint="eastAsia"/>
          <w:b/>
          <w:sz w:val="24"/>
        </w:rPr>
        <w:t>二、审核认定工作程序</w:t>
      </w:r>
    </w:p>
    <w:p>
      <w:pPr>
        <w:widowControl/>
        <w:spacing w:line="480" w:lineRule="exact"/>
        <w:ind w:firstLine="480" w:firstLineChars="200"/>
        <w:jc w:val="left"/>
        <w:rPr>
          <w:bCs/>
          <w:sz w:val="24"/>
        </w:rPr>
      </w:pPr>
      <w:r>
        <w:rPr>
          <w:rFonts w:hint="eastAsia"/>
          <w:bCs/>
          <w:sz w:val="24"/>
        </w:rPr>
        <w:t>（一）专家审核小组（专家审核小组成员应具有相关学科副教授以上职称，且不少于 5 人）对申请推免资格学生的科技创新成果进行审核鉴定。</w:t>
      </w:r>
    </w:p>
    <w:p>
      <w:pPr>
        <w:widowControl/>
        <w:spacing w:line="480" w:lineRule="exact"/>
        <w:ind w:firstLine="480" w:firstLineChars="200"/>
        <w:jc w:val="left"/>
        <w:rPr>
          <w:bCs/>
          <w:sz w:val="24"/>
        </w:rPr>
      </w:pPr>
      <w:r>
        <w:rPr>
          <w:rFonts w:hint="eastAsia"/>
          <w:bCs/>
          <w:sz w:val="24"/>
        </w:rPr>
        <w:t>（二）对学生提交的多项科技创新成果实行代表作评价，评价重点聚焦到创新质量和个人贡献。</w:t>
      </w:r>
    </w:p>
    <w:p>
      <w:pPr>
        <w:widowControl/>
        <w:spacing w:line="480" w:lineRule="exact"/>
        <w:ind w:firstLine="480" w:firstLineChars="200"/>
        <w:jc w:val="left"/>
        <w:rPr>
          <w:bCs/>
          <w:sz w:val="24"/>
        </w:rPr>
      </w:pPr>
      <w:r>
        <w:rPr>
          <w:rFonts w:hint="eastAsia"/>
          <w:bCs/>
          <w:sz w:val="24"/>
        </w:rPr>
        <w:t>（三）学院负责组织对提交科技创新成果的学生进行公开答辩。</w:t>
      </w:r>
    </w:p>
    <w:p>
      <w:pPr>
        <w:widowControl/>
        <w:spacing w:line="480" w:lineRule="exact"/>
        <w:ind w:firstLine="480" w:firstLineChars="200"/>
        <w:jc w:val="left"/>
        <w:rPr>
          <w:bCs/>
          <w:sz w:val="24"/>
        </w:rPr>
      </w:pPr>
      <w:r>
        <w:rPr>
          <w:rFonts w:hint="eastAsia"/>
          <w:bCs/>
          <w:sz w:val="24"/>
        </w:rPr>
        <w:t>（四）在专家审核小组审核答辩过程中，有三分之一及以上专家认定学生所提交的科技创新成果存在抄袭、造假、冒名及有名无实等情况，取消其申请资格。</w:t>
      </w:r>
    </w:p>
    <w:p>
      <w:pPr>
        <w:widowControl/>
        <w:spacing w:line="480" w:lineRule="exact"/>
        <w:ind w:firstLine="480" w:firstLineChars="200"/>
        <w:jc w:val="left"/>
        <w:rPr>
          <w:bCs/>
          <w:sz w:val="24"/>
        </w:rPr>
      </w:pPr>
      <w:r>
        <w:rPr>
          <w:rFonts w:hint="eastAsia"/>
          <w:bCs/>
          <w:sz w:val="24"/>
        </w:rPr>
        <w:t>（五）专家审核小组审核答辩全程须录音录像，答辩结果要公开公示。</w:t>
      </w:r>
    </w:p>
    <w:p>
      <w:pPr>
        <w:widowControl/>
        <w:spacing w:line="480" w:lineRule="exact"/>
        <w:ind w:firstLine="480" w:firstLineChars="200"/>
        <w:jc w:val="left"/>
        <w:rPr>
          <w:bCs/>
          <w:sz w:val="24"/>
        </w:rPr>
      </w:pPr>
      <w:r>
        <w:rPr>
          <w:rFonts w:hint="eastAsia"/>
          <w:bCs/>
          <w:sz w:val="24"/>
        </w:rPr>
        <w:t>（六）通过审核鉴定或答辩的学生科技创新成果，须在学院网站上予以公示。未通过审核鉴定或答辩的，不得纳入推免遴选综合成绩计算体系。</w:t>
      </w:r>
    </w:p>
    <w:p>
      <w:pPr>
        <w:widowControl/>
        <w:spacing w:line="480" w:lineRule="exact"/>
        <w:ind w:firstLine="482" w:firstLineChars="200"/>
        <w:jc w:val="left"/>
        <w:rPr>
          <w:b/>
          <w:sz w:val="24"/>
        </w:rPr>
      </w:pPr>
      <w:r>
        <w:rPr>
          <w:rFonts w:hint="eastAsia"/>
          <w:b/>
          <w:sz w:val="24"/>
        </w:rPr>
        <w:t>三、计算办法</w:t>
      </w:r>
    </w:p>
    <w:p>
      <w:pPr>
        <w:widowControl/>
        <w:spacing w:line="480" w:lineRule="exact"/>
        <w:ind w:firstLine="480" w:firstLineChars="200"/>
        <w:jc w:val="left"/>
        <w:rPr>
          <w:bCs/>
          <w:sz w:val="24"/>
        </w:rPr>
      </w:pPr>
      <w:r>
        <w:rPr>
          <w:rFonts w:hint="eastAsia"/>
          <w:bCs/>
          <w:sz w:val="24"/>
        </w:rPr>
        <w:t>（一）总成绩=科研论文成绩（满分 100）*科研论文所占权重（30%）+科研竞赛成绩（满分 100）*科研竞赛所占权重（50%）</w:t>
      </w:r>
    </w:p>
    <w:p>
      <w:pPr>
        <w:widowControl/>
        <w:spacing w:line="480" w:lineRule="exact"/>
        <w:ind w:firstLine="480" w:firstLineChars="200"/>
        <w:jc w:val="left"/>
        <w:rPr>
          <w:bCs/>
          <w:sz w:val="24"/>
        </w:rPr>
      </w:pPr>
      <w:r>
        <w:rPr>
          <w:rFonts w:hint="eastAsia"/>
          <w:bCs/>
          <w:sz w:val="24"/>
        </w:rPr>
        <w:t>（二）科研论文成绩计算方法由各学院（临沂校区）根据实际情况制定。</w:t>
      </w:r>
    </w:p>
    <w:p>
      <w:pPr>
        <w:widowControl/>
        <w:spacing w:line="480" w:lineRule="exact"/>
        <w:ind w:firstLine="480" w:firstLineChars="200"/>
        <w:jc w:val="left"/>
        <w:rPr>
          <w:bCs/>
          <w:sz w:val="24"/>
        </w:rPr>
      </w:pPr>
      <w:r>
        <w:rPr>
          <w:rFonts w:hint="eastAsia"/>
          <w:bCs/>
          <w:sz w:val="24"/>
        </w:rPr>
        <w:t>（三）科研竞赛成绩=类别分值（</w:t>
      </w:r>
      <w:r>
        <w:rPr>
          <w:bCs/>
          <w:i/>
          <w:iCs/>
          <w:sz w:val="24"/>
        </w:rPr>
        <w:t>x</w:t>
      </w:r>
      <w:r>
        <w:rPr>
          <w:rFonts w:hint="eastAsia"/>
          <w:bCs/>
          <w:sz w:val="24"/>
        </w:rPr>
        <w:t>）*位次系数（</w:t>
      </w:r>
      <w:r>
        <w:rPr>
          <w:bCs/>
          <w:i/>
          <w:iCs/>
          <w:sz w:val="24"/>
        </w:rPr>
        <w:t>y</w:t>
      </w:r>
      <w:r>
        <w:rPr>
          <w:rFonts w:hint="eastAsia"/>
          <w:bCs/>
          <w:sz w:val="24"/>
        </w:rPr>
        <w:t>）</w:t>
      </w:r>
    </w:p>
    <w:p>
      <w:pPr>
        <w:widowControl/>
        <w:spacing w:line="480" w:lineRule="exact"/>
        <w:ind w:firstLine="480" w:firstLineChars="200"/>
        <w:jc w:val="left"/>
        <w:rPr>
          <w:bCs/>
          <w:sz w:val="24"/>
        </w:rPr>
      </w:pPr>
      <w:r>
        <w:rPr>
          <w:rFonts w:hint="eastAsia"/>
          <w:bCs/>
          <w:sz w:val="24"/>
        </w:rPr>
        <w:t>1.科研竞赛类别分值</w:t>
      </w:r>
    </w:p>
    <w:p>
      <w:pPr>
        <w:widowControl/>
        <w:spacing w:line="480" w:lineRule="exact"/>
        <w:jc w:val="center"/>
        <w:rPr>
          <w:bCs/>
          <w:sz w:val="24"/>
        </w:rPr>
      </w:pPr>
      <w:r>
        <w:rPr>
          <w:rFonts w:hint="eastAsia"/>
          <w:bCs/>
          <w:sz w:val="24"/>
        </w:rPr>
        <w:t>科研竞赛类别分值（</w:t>
      </w:r>
      <w:r>
        <w:rPr>
          <w:bCs/>
          <w:i/>
          <w:iCs/>
          <w:sz w:val="24"/>
        </w:rPr>
        <w:t>x</w:t>
      </w:r>
      <w:r>
        <w:rPr>
          <w:rFonts w:hint="eastAsia"/>
          <w:bCs/>
          <w:sz w:val="24"/>
        </w:rPr>
        <w:t>）赋分表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7"/>
        <w:gridCol w:w="2907"/>
        <w:gridCol w:w="2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7" w:type="dxa"/>
          </w:tcPr>
          <w:p>
            <w:pPr>
              <w:widowControl/>
              <w:spacing w:line="480" w:lineRule="exact"/>
              <w:jc w:val="center"/>
              <w:rPr>
                <w:bCs/>
                <w:sz w:val="24"/>
              </w:rPr>
            </w:pPr>
            <w:r>
              <w:rPr>
                <w:rFonts w:hint="eastAsia"/>
                <w:bCs/>
                <w:sz w:val="24"/>
              </w:rPr>
              <w:t>获奖等级</w:t>
            </w:r>
          </w:p>
        </w:tc>
        <w:tc>
          <w:tcPr>
            <w:tcW w:w="2907" w:type="dxa"/>
          </w:tcPr>
          <w:p>
            <w:pPr>
              <w:widowControl/>
              <w:spacing w:line="480" w:lineRule="exact"/>
              <w:jc w:val="center"/>
              <w:rPr>
                <w:bCs/>
                <w:sz w:val="24"/>
              </w:rPr>
            </w:pPr>
            <w:r>
              <w:rPr>
                <w:rFonts w:hint="eastAsia"/>
                <w:bCs/>
                <w:sz w:val="24"/>
              </w:rPr>
              <w:t>A 类竞赛获奖赋分</w:t>
            </w:r>
          </w:p>
        </w:tc>
        <w:tc>
          <w:tcPr>
            <w:tcW w:w="2907" w:type="dxa"/>
          </w:tcPr>
          <w:p>
            <w:pPr>
              <w:widowControl/>
              <w:spacing w:line="480" w:lineRule="exact"/>
              <w:jc w:val="center"/>
              <w:rPr>
                <w:bCs/>
                <w:sz w:val="24"/>
              </w:rPr>
            </w:pPr>
            <w:r>
              <w:rPr>
                <w:rFonts w:hint="eastAsia"/>
                <w:bCs/>
                <w:sz w:val="24"/>
              </w:rPr>
              <w:t>B 类竞赛获奖赋分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7" w:type="dxa"/>
          </w:tcPr>
          <w:p>
            <w:pPr>
              <w:widowControl/>
              <w:spacing w:line="480" w:lineRule="exact"/>
              <w:jc w:val="center"/>
              <w:rPr>
                <w:bCs/>
                <w:sz w:val="24"/>
              </w:rPr>
            </w:pPr>
            <w:r>
              <w:rPr>
                <w:rFonts w:hint="eastAsia"/>
                <w:bCs/>
                <w:sz w:val="24"/>
              </w:rPr>
              <w:t>一等奖</w:t>
            </w:r>
          </w:p>
          <w:p>
            <w:pPr>
              <w:widowControl/>
              <w:spacing w:line="480" w:lineRule="exact"/>
              <w:jc w:val="center"/>
              <w:rPr>
                <w:bCs/>
                <w:sz w:val="24"/>
              </w:rPr>
            </w:pPr>
            <w:r>
              <w:rPr>
                <w:rFonts w:hint="eastAsia"/>
                <w:bCs/>
                <w:sz w:val="24"/>
              </w:rPr>
              <w:t>（特等奖、金奖）</w:t>
            </w:r>
          </w:p>
        </w:tc>
        <w:tc>
          <w:tcPr>
            <w:tcW w:w="2907" w:type="dxa"/>
          </w:tcPr>
          <w:p>
            <w:pPr>
              <w:widowControl/>
              <w:spacing w:line="480" w:lineRule="exact"/>
              <w:jc w:val="center"/>
              <w:rPr>
                <w:bCs/>
                <w:sz w:val="24"/>
              </w:rPr>
            </w:pPr>
            <w:r>
              <w:rPr>
                <w:rFonts w:hint="eastAsia"/>
                <w:bCs/>
                <w:sz w:val="24"/>
              </w:rPr>
              <w:t>100分</w:t>
            </w:r>
          </w:p>
        </w:tc>
        <w:tc>
          <w:tcPr>
            <w:tcW w:w="2907" w:type="dxa"/>
          </w:tcPr>
          <w:p>
            <w:pPr>
              <w:widowControl/>
              <w:spacing w:line="480" w:lineRule="exact"/>
              <w:jc w:val="center"/>
              <w:rPr>
                <w:bCs/>
                <w:sz w:val="24"/>
              </w:rPr>
            </w:pPr>
            <w:r>
              <w:rPr>
                <w:rFonts w:hint="eastAsia"/>
                <w:bCs/>
                <w:sz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7" w:type="dxa"/>
          </w:tcPr>
          <w:p>
            <w:pPr>
              <w:widowControl/>
              <w:spacing w:line="480" w:lineRule="exact"/>
              <w:jc w:val="center"/>
              <w:rPr>
                <w:bCs/>
                <w:sz w:val="24"/>
              </w:rPr>
            </w:pPr>
            <w:r>
              <w:rPr>
                <w:rFonts w:hint="eastAsia"/>
                <w:bCs/>
                <w:sz w:val="24"/>
              </w:rPr>
              <w:t>二等奖</w:t>
            </w:r>
          </w:p>
          <w:p>
            <w:pPr>
              <w:widowControl/>
              <w:spacing w:line="480" w:lineRule="exact"/>
              <w:jc w:val="center"/>
              <w:rPr>
                <w:bCs/>
                <w:sz w:val="24"/>
              </w:rPr>
            </w:pPr>
            <w:r>
              <w:rPr>
                <w:rFonts w:hint="eastAsia"/>
                <w:bCs/>
                <w:sz w:val="24"/>
              </w:rPr>
              <w:t>（银奖）</w:t>
            </w:r>
          </w:p>
        </w:tc>
        <w:tc>
          <w:tcPr>
            <w:tcW w:w="2907" w:type="dxa"/>
          </w:tcPr>
          <w:p>
            <w:pPr>
              <w:widowControl/>
              <w:spacing w:line="480" w:lineRule="exact"/>
              <w:jc w:val="center"/>
              <w:rPr>
                <w:bCs/>
                <w:sz w:val="24"/>
              </w:rPr>
            </w:pPr>
            <w:r>
              <w:rPr>
                <w:bCs/>
                <w:sz w:val="24"/>
              </w:rPr>
              <w:t>8</w:t>
            </w:r>
            <w:r>
              <w:rPr>
                <w:rFonts w:hint="eastAsia"/>
                <w:bCs/>
                <w:sz w:val="24"/>
              </w:rPr>
              <w:t>0分</w:t>
            </w:r>
          </w:p>
        </w:tc>
        <w:tc>
          <w:tcPr>
            <w:tcW w:w="2907" w:type="dxa"/>
          </w:tcPr>
          <w:p>
            <w:pPr>
              <w:widowControl/>
              <w:spacing w:line="480" w:lineRule="exact"/>
              <w:jc w:val="center"/>
              <w:rPr>
                <w:bCs/>
                <w:sz w:val="24"/>
              </w:rPr>
            </w:pPr>
            <w:r>
              <w:rPr>
                <w:bCs/>
                <w:sz w:val="24"/>
              </w:rPr>
              <w:t>4</w:t>
            </w:r>
            <w:r>
              <w:rPr>
                <w:rFonts w:hint="eastAsia"/>
                <w:bCs/>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7" w:type="dxa"/>
          </w:tcPr>
          <w:p>
            <w:pPr>
              <w:widowControl/>
              <w:spacing w:line="480" w:lineRule="exact"/>
              <w:jc w:val="center"/>
              <w:rPr>
                <w:bCs/>
                <w:sz w:val="24"/>
              </w:rPr>
            </w:pPr>
            <w:r>
              <w:rPr>
                <w:rFonts w:hint="eastAsia"/>
                <w:bCs/>
                <w:sz w:val="24"/>
              </w:rPr>
              <w:t>三等奖</w:t>
            </w:r>
          </w:p>
          <w:p>
            <w:pPr>
              <w:widowControl/>
              <w:spacing w:line="480" w:lineRule="exact"/>
              <w:jc w:val="center"/>
              <w:rPr>
                <w:bCs/>
                <w:sz w:val="24"/>
              </w:rPr>
            </w:pPr>
            <w:r>
              <w:rPr>
                <w:rFonts w:hint="eastAsia"/>
                <w:bCs/>
                <w:sz w:val="24"/>
              </w:rPr>
              <w:t>（铜奖）</w:t>
            </w:r>
          </w:p>
        </w:tc>
        <w:tc>
          <w:tcPr>
            <w:tcW w:w="2907" w:type="dxa"/>
          </w:tcPr>
          <w:p>
            <w:pPr>
              <w:widowControl/>
              <w:spacing w:line="480" w:lineRule="exact"/>
              <w:jc w:val="center"/>
              <w:rPr>
                <w:bCs/>
                <w:sz w:val="24"/>
              </w:rPr>
            </w:pPr>
            <w:r>
              <w:rPr>
                <w:bCs/>
                <w:sz w:val="24"/>
              </w:rPr>
              <w:t>4</w:t>
            </w:r>
            <w:r>
              <w:rPr>
                <w:rFonts w:hint="eastAsia"/>
                <w:bCs/>
                <w:sz w:val="24"/>
              </w:rPr>
              <w:t>0分</w:t>
            </w:r>
          </w:p>
        </w:tc>
        <w:tc>
          <w:tcPr>
            <w:tcW w:w="2907" w:type="dxa"/>
          </w:tcPr>
          <w:p>
            <w:pPr>
              <w:widowControl/>
              <w:spacing w:line="480" w:lineRule="exact"/>
              <w:jc w:val="center"/>
              <w:rPr>
                <w:bCs/>
                <w:sz w:val="24"/>
              </w:rPr>
            </w:pPr>
            <w:r>
              <w:rPr>
                <w:bCs/>
                <w:sz w:val="24"/>
              </w:rPr>
              <w:t>2</w:t>
            </w:r>
            <w:r>
              <w:rPr>
                <w:rFonts w:hint="eastAsia"/>
                <w:bCs/>
                <w:sz w:val="24"/>
              </w:rPr>
              <w:t>0分</w:t>
            </w:r>
          </w:p>
        </w:tc>
      </w:tr>
    </w:tbl>
    <w:p>
      <w:pPr>
        <w:widowControl/>
        <w:spacing w:line="480" w:lineRule="exact"/>
        <w:ind w:firstLine="480" w:firstLineChars="200"/>
        <w:jc w:val="left"/>
        <w:rPr>
          <w:bCs/>
          <w:sz w:val="24"/>
        </w:rPr>
      </w:pPr>
      <w:r>
        <w:rPr>
          <w:rFonts w:hint="eastAsia"/>
          <w:bCs/>
          <w:sz w:val="24"/>
        </w:rPr>
        <w:t xml:space="preserve">（注：中国“互联网+”大学生创新创业大赛、“挑战杯”全国大学生课外学术科技作品竞赛、“挑战杯”全国大学生创业计划竞赛（创青春全国大学生创业计划竞赛）三大赛事确定为科研竞赛 A 类赛事，除三大赛事之外的中国高教学会公布赛事为 B类赛事（包括 ACM-ICPC 国际大学生程序设计竞赛全球总决赛等）。 </w:t>
      </w:r>
      <w:r>
        <w:rPr>
          <w:bCs/>
          <w:sz w:val="24"/>
        </w:rPr>
        <w:t xml:space="preserve"> </w:t>
      </w:r>
    </w:p>
    <w:p>
      <w:pPr>
        <w:widowControl/>
        <w:spacing w:line="480" w:lineRule="exact"/>
        <w:ind w:firstLine="480" w:firstLineChars="200"/>
        <w:jc w:val="left"/>
        <w:rPr>
          <w:bCs/>
          <w:sz w:val="24"/>
        </w:rPr>
      </w:pPr>
      <w:r>
        <w:rPr>
          <w:rFonts w:hint="eastAsia"/>
          <w:bCs/>
          <w:sz w:val="24"/>
        </w:rPr>
        <w:t>科研竞赛的纳入范围及分类，依据学生参赛当年中国高教学会公布的赛事为准。</w:t>
      </w:r>
    </w:p>
    <w:p>
      <w:pPr>
        <w:widowControl/>
        <w:spacing w:line="480" w:lineRule="exact"/>
        <w:ind w:firstLine="480" w:firstLineChars="200"/>
        <w:jc w:val="left"/>
        <w:rPr>
          <w:bCs/>
          <w:sz w:val="24"/>
        </w:rPr>
      </w:pPr>
      <w:r>
        <w:rPr>
          <w:rFonts w:hint="eastAsia"/>
          <w:bCs/>
          <w:sz w:val="24"/>
        </w:rPr>
        <w:t>2.科研竞赛位次系数（</w:t>
      </w:r>
      <w:r>
        <w:rPr>
          <w:bCs/>
          <w:i/>
          <w:iCs/>
          <w:sz w:val="24"/>
        </w:rPr>
        <w:t>y</w:t>
      </w:r>
      <w:r>
        <w:rPr>
          <w:rFonts w:hint="eastAsia"/>
          <w:bCs/>
          <w:sz w:val="24"/>
        </w:rPr>
        <w:t>）</w:t>
      </w:r>
    </w:p>
    <w:p>
      <w:pPr>
        <w:widowControl/>
        <w:spacing w:line="480" w:lineRule="exact"/>
        <w:ind w:firstLine="480" w:firstLineChars="200"/>
        <w:jc w:val="left"/>
        <w:rPr>
          <w:bCs/>
          <w:sz w:val="24"/>
        </w:rPr>
      </w:pPr>
      <w:r>
        <w:rPr>
          <w:rFonts w:hint="eastAsia"/>
          <w:bCs/>
          <w:sz w:val="24"/>
        </w:rPr>
        <w:t>（1）科研竞赛独立完成人位次系数为 100%。</w:t>
      </w:r>
    </w:p>
    <w:p>
      <w:pPr>
        <w:widowControl/>
        <w:spacing w:line="480" w:lineRule="exact"/>
        <w:ind w:firstLine="480" w:firstLineChars="200"/>
        <w:jc w:val="left"/>
        <w:rPr>
          <w:bCs/>
          <w:sz w:val="24"/>
        </w:rPr>
      </w:pPr>
      <w:r>
        <w:rPr>
          <w:rFonts w:hint="eastAsia"/>
          <w:bCs/>
          <w:sz w:val="24"/>
        </w:rPr>
        <w:t>（2）科研竞赛获奖成员人数为 2 位的位次系数</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7"/>
        <w:gridCol w:w="2907"/>
        <w:gridCol w:w="2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7" w:type="dxa"/>
          </w:tcPr>
          <w:p>
            <w:pPr>
              <w:widowControl/>
              <w:spacing w:line="480" w:lineRule="exact"/>
              <w:jc w:val="center"/>
              <w:rPr>
                <w:bCs/>
                <w:sz w:val="24"/>
              </w:rPr>
            </w:pPr>
            <w:r>
              <w:rPr>
                <w:rFonts w:hint="eastAsia"/>
                <w:bCs/>
                <w:sz w:val="24"/>
              </w:rPr>
              <w:t>序号</w:t>
            </w:r>
          </w:p>
        </w:tc>
        <w:tc>
          <w:tcPr>
            <w:tcW w:w="2907" w:type="dxa"/>
          </w:tcPr>
          <w:p>
            <w:pPr>
              <w:widowControl/>
              <w:spacing w:line="480" w:lineRule="exact"/>
              <w:jc w:val="center"/>
              <w:rPr>
                <w:bCs/>
                <w:sz w:val="24"/>
              </w:rPr>
            </w:pPr>
            <w:r>
              <w:rPr>
                <w:rFonts w:hint="eastAsia"/>
                <w:bCs/>
                <w:sz w:val="24"/>
              </w:rPr>
              <w:t>位次</w:t>
            </w:r>
          </w:p>
        </w:tc>
        <w:tc>
          <w:tcPr>
            <w:tcW w:w="2907" w:type="dxa"/>
          </w:tcPr>
          <w:p>
            <w:pPr>
              <w:widowControl/>
              <w:spacing w:line="480" w:lineRule="exact"/>
              <w:jc w:val="center"/>
              <w:rPr>
                <w:bCs/>
                <w:sz w:val="24"/>
              </w:rPr>
            </w:pPr>
            <w:r>
              <w:rPr>
                <w:rFonts w:hint="eastAsia"/>
                <w:bCs/>
                <w:sz w:val="24"/>
              </w:rPr>
              <w:t>位次系数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7" w:type="dxa"/>
          </w:tcPr>
          <w:p>
            <w:pPr>
              <w:widowControl/>
              <w:spacing w:line="480" w:lineRule="exact"/>
              <w:jc w:val="center"/>
              <w:rPr>
                <w:bCs/>
                <w:sz w:val="24"/>
              </w:rPr>
            </w:pPr>
            <w:r>
              <w:rPr>
                <w:rFonts w:hint="eastAsia"/>
                <w:bCs/>
                <w:sz w:val="24"/>
              </w:rPr>
              <w:t>1</w:t>
            </w:r>
          </w:p>
        </w:tc>
        <w:tc>
          <w:tcPr>
            <w:tcW w:w="2907" w:type="dxa"/>
          </w:tcPr>
          <w:p>
            <w:pPr>
              <w:widowControl/>
              <w:spacing w:line="480" w:lineRule="exact"/>
              <w:jc w:val="center"/>
              <w:rPr>
                <w:bCs/>
                <w:sz w:val="24"/>
              </w:rPr>
            </w:pPr>
            <w:r>
              <w:rPr>
                <w:rFonts w:hint="eastAsia"/>
                <w:bCs/>
                <w:sz w:val="24"/>
              </w:rPr>
              <w:t>1</w:t>
            </w:r>
          </w:p>
        </w:tc>
        <w:tc>
          <w:tcPr>
            <w:tcW w:w="2907" w:type="dxa"/>
          </w:tcPr>
          <w:p>
            <w:pPr>
              <w:widowControl/>
              <w:spacing w:line="480" w:lineRule="exact"/>
              <w:jc w:val="center"/>
              <w:rPr>
                <w:bCs/>
                <w:sz w:val="24"/>
              </w:rPr>
            </w:pPr>
            <w:r>
              <w:rPr>
                <w:bCs/>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7" w:type="dxa"/>
          </w:tcPr>
          <w:p>
            <w:pPr>
              <w:widowControl/>
              <w:spacing w:line="480" w:lineRule="exact"/>
              <w:jc w:val="center"/>
              <w:rPr>
                <w:bCs/>
                <w:sz w:val="24"/>
              </w:rPr>
            </w:pPr>
            <w:r>
              <w:rPr>
                <w:rFonts w:hint="eastAsia"/>
                <w:bCs/>
                <w:sz w:val="24"/>
              </w:rPr>
              <w:t>2</w:t>
            </w:r>
          </w:p>
        </w:tc>
        <w:tc>
          <w:tcPr>
            <w:tcW w:w="2907" w:type="dxa"/>
          </w:tcPr>
          <w:p>
            <w:pPr>
              <w:widowControl/>
              <w:spacing w:line="480" w:lineRule="exact"/>
              <w:jc w:val="center"/>
              <w:rPr>
                <w:bCs/>
                <w:sz w:val="24"/>
              </w:rPr>
            </w:pPr>
            <w:r>
              <w:rPr>
                <w:rFonts w:hint="eastAsia"/>
                <w:bCs/>
                <w:sz w:val="24"/>
              </w:rPr>
              <w:t>2</w:t>
            </w:r>
          </w:p>
        </w:tc>
        <w:tc>
          <w:tcPr>
            <w:tcW w:w="2907" w:type="dxa"/>
          </w:tcPr>
          <w:p>
            <w:pPr>
              <w:widowControl/>
              <w:spacing w:line="480" w:lineRule="exact"/>
              <w:jc w:val="center"/>
              <w:rPr>
                <w:bCs/>
                <w:sz w:val="24"/>
              </w:rPr>
            </w:pPr>
            <w:r>
              <w:rPr>
                <w:bCs/>
                <w:sz w:val="24"/>
              </w:rPr>
              <w:t>40%</w:t>
            </w:r>
          </w:p>
        </w:tc>
      </w:tr>
    </w:tbl>
    <w:p>
      <w:pPr>
        <w:widowControl/>
        <w:spacing w:line="480" w:lineRule="exact"/>
        <w:ind w:firstLine="480" w:firstLineChars="200"/>
        <w:jc w:val="left"/>
        <w:rPr>
          <w:bCs/>
          <w:sz w:val="24"/>
        </w:rPr>
      </w:pPr>
      <w:r>
        <w:rPr>
          <w:rFonts w:hint="eastAsia"/>
          <w:bCs/>
          <w:sz w:val="24"/>
        </w:rPr>
        <w:t>（3）科研竞赛获奖成员人数大于等于 3 位的位次系数</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7"/>
        <w:gridCol w:w="2907"/>
        <w:gridCol w:w="2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7" w:type="dxa"/>
          </w:tcPr>
          <w:p>
            <w:pPr>
              <w:widowControl/>
              <w:spacing w:line="480" w:lineRule="exact"/>
              <w:jc w:val="center"/>
              <w:rPr>
                <w:bCs/>
                <w:sz w:val="24"/>
              </w:rPr>
            </w:pPr>
            <w:r>
              <w:rPr>
                <w:rFonts w:hint="eastAsia"/>
                <w:bCs/>
                <w:sz w:val="24"/>
              </w:rPr>
              <w:t>序号</w:t>
            </w:r>
          </w:p>
        </w:tc>
        <w:tc>
          <w:tcPr>
            <w:tcW w:w="2907" w:type="dxa"/>
          </w:tcPr>
          <w:p>
            <w:pPr>
              <w:widowControl/>
              <w:spacing w:line="480" w:lineRule="exact"/>
              <w:jc w:val="center"/>
              <w:rPr>
                <w:bCs/>
                <w:sz w:val="24"/>
              </w:rPr>
            </w:pPr>
            <w:r>
              <w:rPr>
                <w:rFonts w:hint="eastAsia"/>
                <w:bCs/>
                <w:sz w:val="24"/>
              </w:rPr>
              <w:t>位次</w:t>
            </w:r>
          </w:p>
        </w:tc>
        <w:tc>
          <w:tcPr>
            <w:tcW w:w="2907" w:type="dxa"/>
          </w:tcPr>
          <w:p>
            <w:pPr>
              <w:widowControl/>
              <w:spacing w:line="480" w:lineRule="exact"/>
              <w:jc w:val="center"/>
              <w:rPr>
                <w:bCs/>
                <w:sz w:val="24"/>
              </w:rPr>
            </w:pPr>
            <w:r>
              <w:rPr>
                <w:rFonts w:hint="eastAsia"/>
                <w:bCs/>
                <w:sz w:val="24"/>
              </w:rPr>
              <w:t>位次系数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7" w:type="dxa"/>
          </w:tcPr>
          <w:p>
            <w:pPr>
              <w:widowControl/>
              <w:spacing w:line="480" w:lineRule="exact"/>
              <w:jc w:val="center"/>
              <w:rPr>
                <w:bCs/>
                <w:sz w:val="24"/>
              </w:rPr>
            </w:pPr>
            <w:r>
              <w:rPr>
                <w:rFonts w:hint="eastAsia"/>
                <w:bCs/>
                <w:sz w:val="24"/>
              </w:rPr>
              <w:t>1</w:t>
            </w:r>
          </w:p>
        </w:tc>
        <w:tc>
          <w:tcPr>
            <w:tcW w:w="2907" w:type="dxa"/>
          </w:tcPr>
          <w:p>
            <w:pPr>
              <w:widowControl/>
              <w:spacing w:line="480" w:lineRule="exact"/>
              <w:jc w:val="center"/>
              <w:rPr>
                <w:bCs/>
                <w:sz w:val="24"/>
              </w:rPr>
            </w:pPr>
            <w:r>
              <w:rPr>
                <w:rFonts w:hint="eastAsia"/>
                <w:bCs/>
                <w:sz w:val="24"/>
              </w:rPr>
              <w:t>1</w:t>
            </w:r>
          </w:p>
        </w:tc>
        <w:tc>
          <w:tcPr>
            <w:tcW w:w="2907" w:type="dxa"/>
          </w:tcPr>
          <w:p>
            <w:pPr>
              <w:widowControl/>
              <w:spacing w:line="480" w:lineRule="exact"/>
              <w:jc w:val="center"/>
              <w:rPr>
                <w:bCs/>
                <w:sz w:val="24"/>
              </w:rPr>
            </w:pPr>
            <w:r>
              <w:rPr>
                <w:bCs/>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7" w:type="dxa"/>
          </w:tcPr>
          <w:p>
            <w:pPr>
              <w:widowControl/>
              <w:spacing w:line="480" w:lineRule="exact"/>
              <w:jc w:val="center"/>
              <w:rPr>
                <w:bCs/>
                <w:sz w:val="24"/>
              </w:rPr>
            </w:pPr>
            <w:r>
              <w:rPr>
                <w:rFonts w:hint="eastAsia"/>
                <w:bCs/>
                <w:sz w:val="24"/>
              </w:rPr>
              <w:t>2</w:t>
            </w:r>
          </w:p>
        </w:tc>
        <w:tc>
          <w:tcPr>
            <w:tcW w:w="2907" w:type="dxa"/>
          </w:tcPr>
          <w:p>
            <w:pPr>
              <w:widowControl/>
              <w:spacing w:line="480" w:lineRule="exact"/>
              <w:jc w:val="center"/>
              <w:rPr>
                <w:bCs/>
                <w:sz w:val="24"/>
              </w:rPr>
            </w:pPr>
            <w:r>
              <w:rPr>
                <w:rFonts w:hint="eastAsia"/>
                <w:bCs/>
                <w:sz w:val="24"/>
              </w:rPr>
              <w:t>2</w:t>
            </w:r>
          </w:p>
        </w:tc>
        <w:tc>
          <w:tcPr>
            <w:tcW w:w="2907" w:type="dxa"/>
          </w:tcPr>
          <w:p>
            <w:pPr>
              <w:widowControl/>
              <w:spacing w:line="480" w:lineRule="exact"/>
              <w:jc w:val="center"/>
              <w:rPr>
                <w:bCs/>
                <w:sz w:val="24"/>
              </w:rPr>
            </w:pPr>
            <w:r>
              <w:rPr>
                <w:bCs/>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7" w:type="dxa"/>
          </w:tcPr>
          <w:p>
            <w:pPr>
              <w:widowControl/>
              <w:spacing w:line="480" w:lineRule="exact"/>
              <w:jc w:val="center"/>
              <w:rPr>
                <w:bCs/>
                <w:sz w:val="24"/>
              </w:rPr>
            </w:pPr>
            <w:r>
              <w:rPr>
                <w:rFonts w:hint="eastAsia"/>
                <w:bCs/>
                <w:sz w:val="24"/>
              </w:rPr>
              <w:t>3</w:t>
            </w:r>
          </w:p>
        </w:tc>
        <w:tc>
          <w:tcPr>
            <w:tcW w:w="2907" w:type="dxa"/>
          </w:tcPr>
          <w:p>
            <w:pPr>
              <w:widowControl/>
              <w:spacing w:line="480" w:lineRule="exact"/>
              <w:jc w:val="center"/>
              <w:rPr>
                <w:bCs/>
                <w:sz w:val="24"/>
              </w:rPr>
            </w:pPr>
            <w:r>
              <w:rPr>
                <w:rFonts w:hint="eastAsia"/>
                <w:bCs/>
                <w:sz w:val="24"/>
              </w:rPr>
              <w:t>3</w:t>
            </w:r>
          </w:p>
        </w:tc>
        <w:tc>
          <w:tcPr>
            <w:tcW w:w="2907" w:type="dxa"/>
          </w:tcPr>
          <w:p>
            <w:pPr>
              <w:widowControl/>
              <w:spacing w:line="480" w:lineRule="exact"/>
              <w:jc w:val="center"/>
              <w:rPr>
                <w:bCs/>
                <w:sz w:val="24"/>
              </w:rPr>
            </w:pPr>
            <w:r>
              <w:rPr>
                <w:bCs/>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7" w:type="dxa"/>
          </w:tcPr>
          <w:p>
            <w:pPr>
              <w:widowControl/>
              <w:spacing w:line="480" w:lineRule="exact"/>
              <w:jc w:val="center"/>
              <w:rPr>
                <w:bCs/>
                <w:sz w:val="24"/>
              </w:rPr>
            </w:pPr>
            <w:r>
              <w:rPr>
                <w:rFonts w:hint="eastAsia"/>
                <w:bCs/>
                <w:sz w:val="24"/>
              </w:rPr>
              <w:t>4</w:t>
            </w:r>
          </w:p>
        </w:tc>
        <w:tc>
          <w:tcPr>
            <w:tcW w:w="2907" w:type="dxa"/>
          </w:tcPr>
          <w:p>
            <w:pPr>
              <w:widowControl/>
              <w:spacing w:line="480" w:lineRule="exact"/>
              <w:jc w:val="center"/>
              <w:rPr>
                <w:bCs/>
                <w:sz w:val="24"/>
              </w:rPr>
            </w:pPr>
            <w:r>
              <w:rPr>
                <w:rFonts w:hint="eastAsia"/>
                <w:bCs/>
                <w:sz w:val="24"/>
              </w:rPr>
              <w:t>4及以后</w:t>
            </w:r>
          </w:p>
        </w:tc>
        <w:tc>
          <w:tcPr>
            <w:tcW w:w="2907" w:type="dxa"/>
          </w:tcPr>
          <w:p>
            <w:pPr>
              <w:widowControl/>
              <w:spacing w:line="480" w:lineRule="exact"/>
              <w:jc w:val="center"/>
              <w:rPr>
                <w:bCs/>
                <w:sz w:val="24"/>
              </w:rPr>
            </w:pPr>
            <w:r>
              <w:rPr>
                <w:rFonts w:hint="eastAsia"/>
                <w:bCs/>
                <w:sz w:val="24"/>
              </w:rPr>
              <w:t>0%</w:t>
            </w:r>
          </w:p>
        </w:tc>
      </w:tr>
    </w:tbl>
    <w:p>
      <w:pPr>
        <w:widowControl/>
        <w:spacing w:line="480" w:lineRule="exact"/>
        <w:ind w:firstLine="480" w:firstLineChars="200"/>
        <w:jc w:val="left"/>
        <w:rPr>
          <w:bCs/>
          <w:sz w:val="24"/>
        </w:rPr>
      </w:pPr>
      <w:r>
        <w:rPr>
          <w:rFonts w:hint="eastAsia"/>
          <w:bCs/>
          <w:sz w:val="24"/>
        </w:rPr>
        <w:t>（4）对于不区分位次的科研竞赛，位次系数为 1/n（n=参赛团队人数）。</w:t>
      </w:r>
    </w:p>
    <w:p>
      <w:pPr>
        <w:widowControl/>
        <w:spacing w:line="480" w:lineRule="exact"/>
        <w:jc w:val="left"/>
        <w:rPr>
          <w:b/>
          <w:sz w:val="24"/>
        </w:rPr>
      </w:pPr>
      <w:r>
        <w:rPr>
          <w:rFonts w:hint="eastAsia"/>
          <w:b/>
          <w:sz w:val="24"/>
        </w:rPr>
        <w:t>四、计分规则</w:t>
      </w:r>
    </w:p>
    <w:p>
      <w:pPr>
        <w:widowControl/>
        <w:spacing w:line="480" w:lineRule="exact"/>
        <w:ind w:firstLine="480" w:firstLineChars="200"/>
        <w:jc w:val="left"/>
        <w:rPr>
          <w:bCs/>
          <w:sz w:val="24"/>
        </w:rPr>
      </w:pPr>
      <w:r>
        <w:rPr>
          <w:rFonts w:hint="eastAsia"/>
          <w:bCs/>
          <w:sz w:val="24"/>
        </w:rPr>
        <w:t>（一）同类别有多项加分情况时，只取最高得分项计分。</w:t>
      </w:r>
    </w:p>
    <w:p>
      <w:pPr>
        <w:widowControl/>
        <w:spacing w:line="480" w:lineRule="exact"/>
        <w:ind w:firstLine="480" w:firstLineChars="200"/>
        <w:jc w:val="left"/>
        <w:rPr>
          <w:bCs/>
          <w:sz w:val="24"/>
        </w:rPr>
      </w:pPr>
      <w:r>
        <w:rPr>
          <w:rFonts w:hint="eastAsia"/>
          <w:bCs/>
          <w:sz w:val="24"/>
        </w:rPr>
        <w:t>（二）获奖认定以竞赛组织部门正式发布的获奖文件（含官方网站公布的获奖文件）或获奖证书为准。</w:t>
      </w:r>
    </w:p>
    <w:p>
      <w:pPr>
        <w:widowControl/>
        <w:spacing w:line="480" w:lineRule="exact"/>
        <w:ind w:firstLine="480" w:firstLineChars="200"/>
        <w:jc w:val="left"/>
        <w:rPr>
          <w:bCs/>
          <w:sz w:val="24"/>
        </w:rPr>
      </w:pPr>
      <w:r>
        <w:rPr>
          <w:rFonts w:hint="eastAsia"/>
          <w:bCs/>
          <w:sz w:val="24"/>
        </w:rPr>
        <w:t>（三）发表的科研论文以正式出版物为准，被检索收录证明需申请者提供。</w:t>
      </w:r>
    </w:p>
    <w:p>
      <w:pPr>
        <w:widowControl/>
        <w:spacing w:line="480" w:lineRule="exact"/>
        <w:jc w:val="left"/>
        <w:rPr>
          <w:b/>
          <w:sz w:val="24"/>
        </w:rPr>
      </w:pPr>
    </w:p>
    <w:sectPr>
      <w:headerReference r:id="rId3" w:type="default"/>
      <w:footerReference r:id="rId4" w:type="default"/>
      <w:footerReference r:id="rId5" w:type="even"/>
      <w:pgSz w:w="11907" w:h="16840"/>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Fonts w:hint="eastAsia"/>
      </w:rPr>
      <w:t xml:space="preserve">— </w:t>
    </w:r>
    <w:r>
      <w:fldChar w:fldCharType="begin"/>
    </w:r>
    <w:r>
      <w:rPr>
        <w:rStyle w:val="10"/>
      </w:rPr>
      <w:instrText xml:space="preserve">PAGE  </w:instrText>
    </w:r>
    <w:r>
      <w:fldChar w:fldCharType="separate"/>
    </w:r>
    <w:r>
      <w:rPr>
        <w:rStyle w:val="10"/>
      </w:rPr>
      <w:t>10</w:t>
    </w:r>
    <w:r>
      <w:fldChar w:fldCharType="end"/>
    </w:r>
    <w:r>
      <w:rPr>
        <w:rStyle w:val="10"/>
        <w:rFonts w:hint="eastAsia"/>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4</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F0"/>
    <w:rsid w:val="000007F7"/>
    <w:rsid w:val="000010FA"/>
    <w:rsid w:val="00011A82"/>
    <w:rsid w:val="00012F83"/>
    <w:rsid w:val="00013132"/>
    <w:rsid w:val="00013539"/>
    <w:rsid w:val="00014326"/>
    <w:rsid w:val="0001509E"/>
    <w:rsid w:val="000212B3"/>
    <w:rsid w:val="000219EF"/>
    <w:rsid w:val="00023718"/>
    <w:rsid w:val="000242EE"/>
    <w:rsid w:val="000257E7"/>
    <w:rsid w:val="00030EC9"/>
    <w:rsid w:val="0003110B"/>
    <w:rsid w:val="00034D56"/>
    <w:rsid w:val="0003540E"/>
    <w:rsid w:val="00043E8F"/>
    <w:rsid w:val="00047A19"/>
    <w:rsid w:val="00050ECE"/>
    <w:rsid w:val="0005462B"/>
    <w:rsid w:val="000623AB"/>
    <w:rsid w:val="000636DC"/>
    <w:rsid w:val="00063833"/>
    <w:rsid w:val="00066484"/>
    <w:rsid w:val="0006652B"/>
    <w:rsid w:val="000665D5"/>
    <w:rsid w:val="0007411B"/>
    <w:rsid w:val="00075828"/>
    <w:rsid w:val="000806D5"/>
    <w:rsid w:val="000820F5"/>
    <w:rsid w:val="00083360"/>
    <w:rsid w:val="00087CEA"/>
    <w:rsid w:val="00090EF6"/>
    <w:rsid w:val="00091929"/>
    <w:rsid w:val="00093EE3"/>
    <w:rsid w:val="000A29C1"/>
    <w:rsid w:val="000A370E"/>
    <w:rsid w:val="000A5677"/>
    <w:rsid w:val="000A72E4"/>
    <w:rsid w:val="000B0B63"/>
    <w:rsid w:val="000B1A1A"/>
    <w:rsid w:val="000B37FE"/>
    <w:rsid w:val="000B3E7C"/>
    <w:rsid w:val="000B413B"/>
    <w:rsid w:val="000B4283"/>
    <w:rsid w:val="000B6F8A"/>
    <w:rsid w:val="000B750C"/>
    <w:rsid w:val="000C5D24"/>
    <w:rsid w:val="000C696C"/>
    <w:rsid w:val="000C74F6"/>
    <w:rsid w:val="000D05B1"/>
    <w:rsid w:val="000D391C"/>
    <w:rsid w:val="000D498A"/>
    <w:rsid w:val="000E0B11"/>
    <w:rsid w:val="000E318D"/>
    <w:rsid w:val="000E3BBC"/>
    <w:rsid w:val="000F10E6"/>
    <w:rsid w:val="0011178F"/>
    <w:rsid w:val="00112253"/>
    <w:rsid w:val="00113831"/>
    <w:rsid w:val="001140D7"/>
    <w:rsid w:val="001265FC"/>
    <w:rsid w:val="00133F3C"/>
    <w:rsid w:val="00134CD4"/>
    <w:rsid w:val="001425B5"/>
    <w:rsid w:val="00145B67"/>
    <w:rsid w:val="0015141E"/>
    <w:rsid w:val="0015144C"/>
    <w:rsid w:val="00154281"/>
    <w:rsid w:val="0016176D"/>
    <w:rsid w:val="00161BA4"/>
    <w:rsid w:val="0016406A"/>
    <w:rsid w:val="00165797"/>
    <w:rsid w:val="00171D0A"/>
    <w:rsid w:val="00173515"/>
    <w:rsid w:val="00177211"/>
    <w:rsid w:val="00180982"/>
    <w:rsid w:val="00190192"/>
    <w:rsid w:val="00190BA0"/>
    <w:rsid w:val="0019198E"/>
    <w:rsid w:val="00193D23"/>
    <w:rsid w:val="00195E5F"/>
    <w:rsid w:val="001A071F"/>
    <w:rsid w:val="001A1397"/>
    <w:rsid w:val="001A2309"/>
    <w:rsid w:val="001A3D80"/>
    <w:rsid w:val="001A453B"/>
    <w:rsid w:val="001B1324"/>
    <w:rsid w:val="001B3D50"/>
    <w:rsid w:val="001B78ED"/>
    <w:rsid w:val="001C0E10"/>
    <w:rsid w:val="001D01EC"/>
    <w:rsid w:val="001D388B"/>
    <w:rsid w:val="001D3A50"/>
    <w:rsid w:val="001E0A8E"/>
    <w:rsid w:val="001E1150"/>
    <w:rsid w:val="001E2AEC"/>
    <w:rsid w:val="001E3DB2"/>
    <w:rsid w:val="001E7882"/>
    <w:rsid w:val="001F723F"/>
    <w:rsid w:val="00200C26"/>
    <w:rsid w:val="00201394"/>
    <w:rsid w:val="00206B6A"/>
    <w:rsid w:val="002076F9"/>
    <w:rsid w:val="00211D53"/>
    <w:rsid w:val="00211DA0"/>
    <w:rsid w:val="00215F9E"/>
    <w:rsid w:val="00217508"/>
    <w:rsid w:val="0021759D"/>
    <w:rsid w:val="00217B24"/>
    <w:rsid w:val="00223798"/>
    <w:rsid w:val="00223D5A"/>
    <w:rsid w:val="00224964"/>
    <w:rsid w:val="00224D4F"/>
    <w:rsid w:val="00224D59"/>
    <w:rsid w:val="00225DEE"/>
    <w:rsid w:val="002265D2"/>
    <w:rsid w:val="002273F2"/>
    <w:rsid w:val="00227B0A"/>
    <w:rsid w:val="002309AF"/>
    <w:rsid w:val="0023154A"/>
    <w:rsid w:val="00231FDE"/>
    <w:rsid w:val="00234C83"/>
    <w:rsid w:val="00236C05"/>
    <w:rsid w:val="00242B60"/>
    <w:rsid w:val="002431B8"/>
    <w:rsid w:val="00243C10"/>
    <w:rsid w:val="002442A2"/>
    <w:rsid w:val="0024698F"/>
    <w:rsid w:val="0025008A"/>
    <w:rsid w:val="00250F0C"/>
    <w:rsid w:val="002525C1"/>
    <w:rsid w:val="0026238E"/>
    <w:rsid w:val="00262DA4"/>
    <w:rsid w:val="002640F2"/>
    <w:rsid w:val="0027144B"/>
    <w:rsid w:val="0027285F"/>
    <w:rsid w:val="002739E3"/>
    <w:rsid w:val="00273EB6"/>
    <w:rsid w:val="00274FD6"/>
    <w:rsid w:val="00276B8C"/>
    <w:rsid w:val="00282F5B"/>
    <w:rsid w:val="00285F72"/>
    <w:rsid w:val="002860AE"/>
    <w:rsid w:val="00295759"/>
    <w:rsid w:val="002B07EC"/>
    <w:rsid w:val="002B67BD"/>
    <w:rsid w:val="002B71F4"/>
    <w:rsid w:val="002C06DE"/>
    <w:rsid w:val="002C1D12"/>
    <w:rsid w:val="002C5602"/>
    <w:rsid w:val="002C7ABE"/>
    <w:rsid w:val="002D508B"/>
    <w:rsid w:val="002E3B1F"/>
    <w:rsid w:val="002E4966"/>
    <w:rsid w:val="002E6BD8"/>
    <w:rsid w:val="002F2351"/>
    <w:rsid w:val="002F41C6"/>
    <w:rsid w:val="002F4AA8"/>
    <w:rsid w:val="002F4FD4"/>
    <w:rsid w:val="0030034D"/>
    <w:rsid w:val="00300B3B"/>
    <w:rsid w:val="00301920"/>
    <w:rsid w:val="0030208E"/>
    <w:rsid w:val="0030223F"/>
    <w:rsid w:val="00307357"/>
    <w:rsid w:val="00324757"/>
    <w:rsid w:val="00325A76"/>
    <w:rsid w:val="00325B86"/>
    <w:rsid w:val="00330EAC"/>
    <w:rsid w:val="0033295B"/>
    <w:rsid w:val="0033345A"/>
    <w:rsid w:val="00336AA3"/>
    <w:rsid w:val="00337234"/>
    <w:rsid w:val="003425A4"/>
    <w:rsid w:val="00344B3A"/>
    <w:rsid w:val="00345E9A"/>
    <w:rsid w:val="0034713B"/>
    <w:rsid w:val="00347FF0"/>
    <w:rsid w:val="003571A1"/>
    <w:rsid w:val="0036169E"/>
    <w:rsid w:val="00366A6B"/>
    <w:rsid w:val="003701E7"/>
    <w:rsid w:val="00373E52"/>
    <w:rsid w:val="00373F1B"/>
    <w:rsid w:val="003747D2"/>
    <w:rsid w:val="00374ECB"/>
    <w:rsid w:val="00375DF4"/>
    <w:rsid w:val="003779BC"/>
    <w:rsid w:val="00385829"/>
    <w:rsid w:val="00385BE8"/>
    <w:rsid w:val="00385FA7"/>
    <w:rsid w:val="00387ECF"/>
    <w:rsid w:val="00390946"/>
    <w:rsid w:val="00390B96"/>
    <w:rsid w:val="0039339D"/>
    <w:rsid w:val="003A227F"/>
    <w:rsid w:val="003A3362"/>
    <w:rsid w:val="003A49ED"/>
    <w:rsid w:val="003A6883"/>
    <w:rsid w:val="003A783C"/>
    <w:rsid w:val="003B0F9A"/>
    <w:rsid w:val="003B4959"/>
    <w:rsid w:val="003B70AD"/>
    <w:rsid w:val="003B7E0D"/>
    <w:rsid w:val="003C0F42"/>
    <w:rsid w:val="003C1DAE"/>
    <w:rsid w:val="003C2EEF"/>
    <w:rsid w:val="003C55C1"/>
    <w:rsid w:val="003C619E"/>
    <w:rsid w:val="003C6605"/>
    <w:rsid w:val="003D2ADB"/>
    <w:rsid w:val="003D3C84"/>
    <w:rsid w:val="003D5945"/>
    <w:rsid w:val="003E02EB"/>
    <w:rsid w:val="003E3A99"/>
    <w:rsid w:val="003E47B4"/>
    <w:rsid w:val="003E5F5F"/>
    <w:rsid w:val="003E60B8"/>
    <w:rsid w:val="003F127F"/>
    <w:rsid w:val="003F2636"/>
    <w:rsid w:val="003F3E3A"/>
    <w:rsid w:val="003F528A"/>
    <w:rsid w:val="003F5C90"/>
    <w:rsid w:val="00401355"/>
    <w:rsid w:val="00401FD1"/>
    <w:rsid w:val="00412EDE"/>
    <w:rsid w:val="00415790"/>
    <w:rsid w:val="00416B67"/>
    <w:rsid w:val="004178AF"/>
    <w:rsid w:val="004222F6"/>
    <w:rsid w:val="004269C1"/>
    <w:rsid w:val="00427B33"/>
    <w:rsid w:val="00432729"/>
    <w:rsid w:val="0043305A"/>
    <w:rsid w:val="004348E5"/>
    <w:rsid w:val="00434FB6"/>
    <w:rsid w:val="00442266"/>
    <w:rsid w:val="00442E1F"/>
    <w:rsid w:val="00444A27"/>
    <w:rsid w:val="00445E56"/>
    <w:rsid w:val="00446739"/>
    <w:rsid w:val="00460C32"/>
    <w:rsid w:val="0046158E"/>
    <w:rsid w:val="00461C87"/>
    <w:rsid w:val="004639B0"/>
    <w:rsid w:val="0046543D"/>
    <w:rsid w:val="00466BBC"/>
    <w:rsid w:val="00481B03"/>
    <w:rsid w:val="004843D3"/>
    <w:rsid w:val="00486F76"/>
    <w:rsid w:val="0049101C"/>
    <w:rsid w:val="004933FC"/>
    <w:rsid w:val="00495AF6"/>
    <w:rsid w:val="004A217D"/>
    <w:rsid w:val="004A40BE"/>
    <w:rsid w:val="004A532F"/>
    <w:rsid w:val="004A5BC3"/>
    <w:rsid w:val="004B2D4E"/>
    <w:rsid w:val="004B4A0C"/>
    <w:rsid w:val="004C41A9"/>
    <w:rsid w:val="004C5DB4"/>
    <w:rsid w:val="004D07E3"/>
    <w:rsid w:val="004D0C7A"/>
    <w:rsid w:val="004D27C6"/>
    <w:rsid w:val="004D64D6"/>
    <w:rsid w:val="004D73A5"/>
    <w:rsid w:val="004E4A72"/>
    <w:rsid w:val="004F1FA0"/>
    <w:rsid w:val="004F2E92"/>
    <w:rsid w:val="004F3D96"/>
    <w:rsid w:val="004F4168"/>
    <w:rsid w:val="004F4616"/>
    <w:rsid w:val="004F4FC8"/>
    <w:rsid w:val="004F7D80"/>
    <w:rsid w:val="00501A9F"/>
    <w:rsid w:val="005067C1"/>
    <w:rsid w:val="005071F1"/>
    <w:rsid w:val="00507BCB"/>
    <w:rsid w:val="0051294D"/>
    <w:rsid w:val="00513A98"/>
    <w:rsid w:val="00514D91"/>
    <w:rsid w:val="00515719"/>
    <w:rsid w:val="0051769B"/>
    <w:rsid w:val="00523891"/>
    <w:rsid w:val="00523A9E"/>
    <w:rsid w:val="0052420C"/>
    <w:rsid w:val="00524BBB"/>
    <w:rsid w:val="00525718"/>
    <w:rsid w:val="00527E1C"/>
    <w:rsid w:val="00534406"/>
    <w:rsid w:val="005358EC"/>
    <w:rsid w:val="00536266"/>
    <w:rsid w:val="005376F4"/>
    <w:rsid w:val="00537DB3"/>
    <w:rsid w:val="00544AB7"/>
    <w:rsid w:val="00544E84"/>
    <w:rsid w:val="00551D4C"/>
    <w:rsid w:val="00551EDE"/>
    <w:rsid w:val="00552B03"/>
    <w:rsid w:val="00560AAA"/>
    <w:rsid w:val="00561580"/>
    <w:rsid w:val="00561EE1"/>
    <w:rsid w:val="0056731C"/>
    <w:rsid w:val="005678C4"/>
    <w:rsid w:val="0057251E"/>
    <w:rsid w:val="00572A6D"/>
    <w:rsid w:val="00576341"/>
    <w:rsid w:val="0057736F"/>
    <w:rsid w:val="005826F1"/>
    <w:rsid w:val="005856F1"/>
    <w:rsid w:val="0058689B"/>
    <w:rsid w:val="00587BFD"/>
    <w:rsid w:val="00590A84"/>
    <w:rsid w:val="005922FC"/>
    <w:rsid w:val="00593139"/>
    <w:rsid w:val="005940D1"/>
    <w:rsid w:val="0059603C"/>
    <w:rsid w:val="005975B1"/>
    <w:rsid w:val="005A517D"/>
    <w:rsid w:val="005B1834"/>
    <w:rsid w:val="005B19BA"/>
    <w:rsid w:val="005B2366"/>
    <w:rsid w:val="005B2F3A"/>
    <w:rsid w:val="005B60DA"/>
    <w:rsid w:val="005C245B"/>
    <w:rsid w:val="005C7241"/>
    <w:rsid w:val="005D09B4"/>
    <w:rsid w:val="005D459B"/>
    <w:rsid w:val="005D5683"/>
    <w:rsid w:val="005D7232"/>
    <w:rsid w:val="005D7F28"/>
    <w:rsid w:val="005E2600"/>
    <w:rsid w:val="005E31B3"/>
    <w:rsid w:val="005E3F92"/>
    <w:rsid w:val="005E401F"/>
    <w:rsid w:val="005E4FBF"/>
    <w:rsid w:val="005E6E32"/>
    <w:rsid w:val="005F032E"/>
    <w:rsid w:val="005F0F04"/>
    <w:rsid w:val="005F10E0"/>
    <w:rsid w:val="005F1C53"/>
    <w:rsid w:val="005F21D8"/>
    <w:rsid w:val="005F39DE"/>
    <w:rsid w:val="006014E4"/>
    <w:rsid w:val="00601F42"/>
    <w:rsid w:val="0060412E"/>
    <w:rsid w:val="00605755"/>
    <w:rsid w:val="006112D6"/>
    <w:rsid w:val="006116A9"/>
    <w:rsid w:val="006128B2"/>
    <w:rsid w:val="006155D5"/>
    <w:rsid w:val="00616A5C"/>
    <w:rsid w:val="00621C57"/>
    <w:rsid w:val="00623586"/>
    <w:rsid w:val="00623DEF"/>
    <w:rsid w:val="006331E4"/>
    <w:rsid w:val="006333F5"/>
    <w:rsid w:val="006337B0"/>
    <w:rsid w:val="00634C99"/>
    <w:rsid w:val="00642327"/>
    <w:rsid w:val="0064274A"/>
    <w:rsid w:val="006442A4"/>
    <w:rsid w:val="00651501"/>
    <w:rsid w:val="00652C95"/>
    <w:rsid w:val="00654F6B"/>
    <w:rsid w:val="006551BC"/>
    <w:rsid w:val="006551D0"/>
    <w:rsid w:val="00660A6B"/>
    <w:rsid w:val="00661E88"/>
    <w:rsid w:val="0066652E"/>
    <w:rsid w:val="00667A45"/>
    <w:rsid w:val="00672BB6"/>
    <w:rsid w:val="00672FE5"/>
    <w:rsid w:val="0067361D"/>
    <w:rsid w:val="00676534"/>
    <w:rsid w:val="006819A9"/>
    <w:rsid w:val="00684476"/>
    <w:rsid w:val="006921BD"/>
    <w:rsid w:val="006A0B90"/>
    <w:rsid w:val="006A5DBF"/>
    <w:rsid w:val="006B6416"/>
    <w:rsid w:val="006B7619"/>
    <w:rsid w:val="006C06A3"/>
    <w:rsid w:val="006C2867"/>
    <w:rsid w:val="006C3DF2"/>
    <w:rsid w:val="006C514E"/>
    <w:rsid w:val="006C51D0"/>
    <w:rsid w:val="006C6258"/>
    <w:rsid w:val="006C7974"/>
    <w:rsid w:val="006D2395"/>
    <w:rsid w:val="006E2759"/>
    <w:rsid w:val="006E5B9C"/>
    <w:rsid w:val="006E605E"/>
    <w:rsid w:val="006E651F"/>
    <w:rsid w:val="006E6C54"/>
    <w:rsid w:val="006E6ECE"/>
    <w:rsid w:val="006E7382"/>
    <w:rsid w:val="006F1076"/>
    <w:rsid w:val="006F7A8C"/>
    <w:rsid w:val="006F7AC7"/>
    <w:rsid w:val="00701DF9"/>
    <w:rsid w:val="00702F1E"/>
    <w:rsid w:val="00704082"/>
    <w:rsid w:val="00704CF1"/>
    <w:rsid w:val="007204C3"/>
    <w:rsid w:val="00721725"/>
    <w:rsid w:val="00721929"/>
    <w:rsid w:val="00722FFE"/>
    <w:rsid w:val="007272D9"/>
    <w:rsid w:val="00730549"/>
    <w:rsid w:val="00732D0B"/>
    <w:rsid w:val="0073345B"/>
    <w:rsid w:val="007424DC"/>
    <w:rsid w:val="00754393"/>
    <w:rsid w:val="00755132"/>
    <w:rsid w:val="00761F42"/>
    <w:rsid w:val="00765235"/>
    <w:rsid w:val="00767903"/>
    <w:rsid w:val="00767FC6"/>
    <w:rsid w:val="0077193E"/>
    <w:rsid w:val="00773F7E"/>
    <w:rsid w:val="00782DFA"/>
    <w:rsid w:val="007831EB"/>
    <w:rsid w:val="007838E9"/>
    <w:rsid w:val="00784BEF"/>
    <w:rsid w:val="00785CAB"/>
    <w:rsid w:val="00785CE8"/>
    <w:rsid w:val="00787298"/>
    <w:rsid w:val="0079478A"/>
    <w:rsid w:val="00797F6B"/>
    <w:rsid w:val="007B010B"/>
    <w:rsid w:val="007B1177"/>
    <w:rsid w:val="007B2BCD"/>
    <w:rsid w:val="007B4341"/>
    <w:rsid w:val="007B6913"/>
    <w:rsid w:val="007B7A24"/>
    <w:rsid w:val="007C24DD"/>
    <w:rsid w:val="007C2B9C"/>
    <w:rsid w:val="007D1F39"/>
    <w:rsid w:val="007D4656"/>
    <w:rsid w:val="007E093F"/>
    <w:rsid w:val="007E1944"/>
    <w:rsid w:val="007E1C64"/>
    <w:rsid w:val="007E26F0"/>
    <w:rsid w:val="007F6EBD"/>
    <w:rsid w:val="007F74E8"/>
    <w:rsid w:val="00800916"/>
    <w:rsid w:val="008060A9"/>
    <w:rsid w:val="0081404C"/>
    <w:rsid w:val="00815D5B"/>
    <w:rsid w:val="008321EA"/>
    <w:rsid w:val="00835D50"/>
    <w:rsid w:val="008406AE"/>
    <w:rsid w:val="008428B4"/>
    <w:rsid w:val="0084367D"/>
    <w:rsid w:val="008547DC"/>
    <w:rsid w:val="008575FD"/>
    <w:rsid w:val="0086617B"/>
    <w:rsid w:val="0086734A"/>
    <w:rsid w:val="0087110F"/>
    <w:rsid w:val="008749D3"/>
    <w:rsid w:val="008819F3"/>
    <w:rsid w:val="00883B22"/>
    <w:rsid w:val="00884C3C"/>
    <w:rsid w:val="00885081"/>
    <w:rsid w:val="008875F5"/>
    <w:rsid w:val="0089386C"/>
    <w:rsid w:val="00894F28"/>
    <w:rsid w:val="00896393"/>
    <w:rsid w:val="00896E89"/>
    <w:rsid w:val="00897AC1"/>
    <w:rsid w:val="008B03BE"/>
    <w:rsid w:val="008B2E8A"/>
    <w:rsid w:val="008B647C"/>
    <w:rsid w:val="008C5385"/>
    <w:rsid w:val="008C660D"/>
    <w:rsid w:val="008D04B1"/>
    <w:rsid w:val="008D0C14"/>
    <w:rsid w:val="008D0DE9"/>
    <w:rsid w:val="008D10A9"/>
    <w:rsid w:val="008D5501"/>
    <w:rsid w:val="008D5D58"/>
    <w:rsid w:val="008D6847"/>
    <w:rsid w:val="008D6CC5"/>
    <w:rsid w:val="008E0D80"/>
    <w:rsid w:val="008F394C"/>
    <w:rsid w:val="008F3F0C"/>
    <w:rsid w:val="008F55A8"/>
    <w:rsid w:val="008F593F"/>
    <w:rsid w:val="008F5C5C"/>
    <w:rsid w:val="00904AE0"/>
    <w:rsid w:val="00906E82"/>
    <w:rsid w:val="00906F8A"/>
    <w:rsid w:val="00914022"/>
    <w:rsid w:val="00921FA9"/>
    <w:rsid w:val="00930F6F"/>
    <w:rsid w:val="009313CD"/>
    <w:rsid w:val="009317A5"/>
    <w:rsid w:val="00931F5D"/>
    <w:rsid w:val="00933367"/>
    <w:rsid w:val="009335F8"/>
    <w:rsid w:val="0093460F"/>
    <w:rsid w:val="00941732"/>
    <w:rsid w:val="00941A98"/>
    <w:rsid w:val="009421D8"/>
    <w:rsid w:val="00942686"/>
    <w:rsid w:val="009428A5"/>
    <w:rsid w:val="009437B9"/>
    <w:rsid w:val="009533D0"/>
    <w:rsid w:val="00957592"/>
    <w:rsid w:val="0096768B"/>
    <w:rsid w:val="00967ED1"/>
    <w:rsid w:val="00970D73"/>
    <w:rsid w:val="0097134F"/>
    <w:rsid w:val="009733EA"/>
    <w:rsid w:val="00974DD9"/>
    <w:rsid w:val="00977242"/>
    <w:rsid w:val="009804FE"/>
    <w:rsid w:val="00983C76"/>
    <w:rsid w:val="00987C60"/>
    <w:rsid w:val="0099170E"/>
    <w:rsid w:val="00994315"/>
    <w:rsid w:val="00995B2D"/>
    <w:rsid w:val="00995DAC"/>
    <w:rsid w:val="009964C4"/>
    <w:rsid w:val="00997192"/>
    <w:rsid w:val="009A031C"/>
    <w:rsid w:val="009A0977"/>
    <w:rsid w:val="009A0F81"/>
    <w:rsid w:val="009A75A1"/>
    <w:rsid w:val="009B1D9F"/>
    <w:rsid w:val="009B39B2"/>
    <w:rsid w:val="009B6867"/>
    <w:rsid w:val="009B70C1"/>
    <w:rsid w:val="009B7E8C"/>
    <w:rsid w:val="009C38F9"/>
    <w:rsid w:val="009C396C"/>
    <w:rsid w:val="009D1918"/>
    <w:rsid w:val="009D22EF"/>
    <w:rsid w:val="009D5798"/>
    <w:rsid w:val="009E1A8C"/>
    <w:rsid w:val="009E22FF"/>
    <w:rsid w:val="009F10B1"/>
    <w:rsid w:val="009F2B75"/>
    <w:rsid w:val="009F47AF"/>
    <w:rsid w:val="009F49A2"/>
    <w:rsid w:val="009F70F2"/>
    <w:rsid w:val="009F7773"/>
    <w:rsid w:val="00A03C38"/>
    <w:rsid w:val="00A12D52"/>
    <w:rsid w:val="00A132FF"/>
    <w:rsid w:val="00A15722"/>
    <w:rsid w:val="00A15C34"/>
    <w:rsid w:val="00A160B3"/>
    <w:rsid w:val="00A20A47"/>
    <w:rsid w:val="00A223C7"/>
    <w:rsid w:val="00A2649E"/>
    <w:rsid w:val="00A33CF3"/>
    <w:rsid w:val="00A42000"/>
    <w:rsid w:val="00A42936"/>
    <w:rsid w:val="00A42B78"/>
    <w:rsid w:val="00A44643"/>
    <w:rsid w:val="00A44BC9"/>
    <w:rsid w:val="00A54AC7"/>
    <w:rsid w:val="00A55624"/>
    <w:rsid w:val="00A5703D"/>
    <w:rsid w:val="00A5726C"/>
    <w:rsid w:val="00A5744A"/>
    <w:rsid w:val="00A60BDF"/>
    <w:rsid w:val="00A63BC4"/>
    <w:rsid w:val="00A66AAD"/>
    <w:rsid w:val="00A72112"/>
    <w:rsid w:val="00A75154"/>
    <w:rsid w:val="00A82A15"/>
    <w:rsid w:val="00A85A44"/>
    <w:rsid w:val="00A86606"/>
    <w:rsid w:val="00A866B9"/>
    <w:rsid w:val="00A874E3"/>
    <w:rsid w:val="00A936EF"/>
    <w:rsid w:val="00AA084C"/>
    <w:rsid w:val="00AA0F7C"/>
    <w:rsid w:val="00AA0FC2"/>
    <w:rsid w:val="00AA1BAE"/>
    <w:rsid w:val="00AA5F74"/>
    <w:rsid w:val="00AA5FC2"/>
    <w:rsid w:val="00AA76F7"/>
    <w:rsid w:val="00AB191D"/>
    <w:rsid w:val="00AB2553"/>
    <w:rsid w:val="00AB6734"/>
    <w:rsid w:val="00AC096E"/>
    <w:rsid w:val="00AC6361"/>
    <w:rsid w:val="00AC67F0"/>
    <w:rsid w:val="00AD095A"/>
    <w:rsid w:val="00AD0CC4"/>
    <w:rsid w:val="00AD4B48"/>
    <w:rsid w:val="00AD4E1A"/>
    <w:rsid w:val="00AD5947"/>
    <w:rsid w:val="00AD5EA7"/>
    <w:rsid w:val="00AE06E6"/>
    <w:rsid w:val="00AE2C84"/>
    <w:rsid w:val="00AE3335"/>
    <w:rsid w:val="00AE6C52"/>
    <w:rsid w:val="00AF76C3"/>
    <w:rsid w:val="00B0212B"/>
    <w:rsid w:val="00B02E5D"/>
    <w:rsid w:val="00B044FD"/>
    <w:rsid w:val="00B04DCC"/>
    <w:rsid w:val="00B07EA3"/>
    <w:rsid w:val="00B105A8"/>
    <w:rsid w:val="00B1127A"/>
    <w:rsid w:val="00B11AA7"/>
    <w:rsid w:val="00B11BB2"/>
    <w:rsid w:val="00B12F79"/>
    <w:rsid w:val="00B148F0"/>
    <w:rsid w:val="00B21200"/>
    <w:rsid w:val="00B27D66"/>
    <w:rsid w:val="00B31CA4"/>
    <w:rsid w:val="00B40A95"/>
    <w:rsid w:val="00B42328"/>
    <w:rsid w:val="00B4262B"/>
    <w:rsid w:val="00B46C3A"/>
    <w:rsid w:val="00B479A7"/>
    <w:rsid w:val="00B52C2E"/>
    <w:rsid w:val="00B602DF"/>
    <w:rsid w:val="00B609F0"/>
    <w:rsid w:val="00B61EB5"/>
    <w:rsid w:val="00B62E25"/>
    <w:rsid w:val="00B64198"/>
    <w:rsid w:val="00B65395"/>
    <w:rsid w:val="00B67A48"/>
    <w:rsid w:val="00B710D1"/>
    <w:rsid w:val="00B7178F"/>
    <w:rsid w:val="00B72A3D"/>
    <w:rsid w:val="00B733EE"/>
    <w:rsid w:val="00B7552D"/>
    <w:rsid w:val="00B77D0D"/>
    <w:rsid w:val="00B819D1"/>
    <w:rsid w:val="00B85186"/>
    <w:rsid w:val="00B85A35"/>
    <w:rsid w:val="00B864B5"/>
    <w:rsid w:val="00B90E43"/>
    <w:rsid w:val="00B93A74"/>
    <w:rsid w:val="00B94438"/>
    <w:rsid w:val="00B96B9E"/>
    <w:rsid w:val="00BA1C30"/>
    <w:rsid w:val="00BB1698"/>
    <w:rsid w:val="00BB27FD"/>
    <w:rsid w:val="00BB46F2"/>
    <w:rsid w:val="00BB603C"/>
    <w:rsid w:val="00BB6822"/>
    <w:rsid w:val="00BB7818"/>
    <w:rsid w:val="00BC61AC"/>
    <w:rsid w:val="00BC7877"/>
    <w:rsid w:val="00BD0532"/>
    <w:rsid w:val="00BD0B6B"/>
    <w:rsid w:val="00BD1BA1"/>
    <w:rsid w:val="00BE3964"/>
    <w:rsid w:val="00BE43BE"/>
    <w:rsid w:val="00BF0070"/>
    <w:rsid w:val="00BF3A04"/>
    <w:rsid w:val="00BF4236"/>
    <w:rsid w:val="00BF4D70"/>
    <w:rsid w:val="00BF68F3"/>
    <w:rsid w:val="00C000A9"/>
    <w:rsid w:val="00C00C1F"/>
    <w:rsid w:val="00C0201B"/>
    <w:rsid w:val="00C11229"/>
    <w:rsid w:val="00C1232F"/>
    <w:rsid w:val="00C1235F"/>
    <w:rsid w:val="00C12B53"/>
    <w:rsid w:val="00C2031B"/>
    <w:rsid w:val="00C25729"/>
    <w:rsid w:val="00C26787"/>
    <w:rsid w:val="00C27D12"/>
    <w:rsid w:val="00C36023"/>
    <w:rsid w:val="00C362A7"/>
    <w:rsid w:val="00C379F5"/>
    <w:rsid w:val="00C410ED"/>
    <w:rsid w:val="00C46BE0"/>
    <w:rsid w:val="00C518BF"/>
    <w:rsid w:val="00C54C12"/>
    <w:rsid w:val="00C61B4F"/>
    <w:rsid w:val="00C63B01"/>
    <w:rsid w:val="00C677C0"/>
    <w:rsid w:val="00C70A58"/>
    <w:rsid w:val="00C7123D"/>
    <w:rsid w:val="00C73B69"/>
    <w:rsid w:val="00C75AAC"/>
    <w:rsid w:val="00C85075"/>
    <w:rsid w:val="00C85A63"/>
    <w:rsid w:val="00C87779"/>
    <w:rsid w:val="00C91DA6"/>
    <w:rsid w:val="00C926B3"/>
    <w:rsid w:val="00C9655A"/>
    <w:rsid w:val="00CA2BC3"/>
    <w:rsid w:val="00CA47E3"/>
    <w:rsid w:val="00CA52F3"/>
    <w:rsid w:val="00CA62F5"/>
    <w:rsid w:val="00CA796A"/>
    <w:rsid w:val="00CB0476"/>
    <w:rsid w:val="00CB0E8D"/>
    <w:rsid w:val="00CB1633"/>
    <w:rsid w:val="00CB1E15"/>
    <w:rsid w:val="00CB73BF"/>
    <w:rsid w:val="00CC551F"/>
    <w:rsid w:val="00CC6D78"/>
    <w:rsid w:val="00CC73F1"/>
    <w:rsid w:val="00CD3AD7"/>
    <w:rsid w:val="00CD4247"/>
    <w:rsid w:val="00CD456F"/>
    <w:rsid w:val="00CD4A8D"/>
    <w:rsid w:val="00CD5585"/>
    <w:rsid w:val="00CD7E16"/>
    <w:rsid w:val="00CE037A"/>
    <w:rsid w:val="00CE04F8"/>
    <w:rsid w:val="00CE2877"/>
    <w:rsid w:val="00CE689D"/>
    <w:rsid w:val="00CF7071"/>
    <w:rsid w:val="00D052FD"/>
    <w:rsid w:val="00D077D0"/>
    <w:rsid w:val="00D1603D"/>
    <w:rsid w:val="00D2643C"/>
    <w:rsid w:val="00D27936"/>
    <w:rsid w:val="00D32298"/>
    <w:rsid w:val="00D32726"/>
    <w:rsid w:val="00D36BF3"/>
    <w:rsid w:val="00D36DAF"/>
    <w:rsid w:val="00D3779C"/>
    <w:rsid w:val="00D454E0"/>
    <w:rsid w:val="00D45F80"/>
    <w:rsid w:val="00D47804"/>
    <w:rsid w:val="00D51200"/>
    <w:rsid w:val="00D53502"/>
    <w:rsid w:val="00D5410D"/>
    <w:rsid w:val="00D60314"/>
    <w:rsid w:val="00D8404E"/>
    <w:rsid w:val="00D84B64"/>
    <w:rsid w:val="00D84BB4"/>
    <w:rsid w:val="00D87F8F"/>
    <w:rsid w:val="00D94F06"/>
    <w:rsid w:val="00D96E62"/>
    <w:rsid w:val="00DA07DC"/>
    <w:rsid w:val="00DA0859"/>
    <w:rsid w:val="00DA0A33"/>
    <w:rsid w:val="00DA1551"/>
    <w:rsid w:val="00DA2E77"/>
    <w:rsid w:val="00DA5197"/>
    <w:rsid w:val="00DA7B7A"/>
    <w:rsid w:val="00DB0882"/>
    <w:rsid w:val="00DB23EE"/>
    <w:rsid w:val="00DB2576"/>
    <w:rsid w:val="00DB3FD1"/>
    <w:rsid w:val="00DB6F52"/>
    <w:rsid w:val="00DC07CB"/>
    <w:rsid w:val="00DC1611"/>
    <w:rsid w:val="00DC34A2"/>
    <w:rsid w:val="00DD36EE"/>
    <w:rsid w:val="00DD370F"/>
    <w:rsid w:val="00DD3E9C"/>
    <w:rsid w:val="00DD60CE"/>
    <w:rsid w:val="00DE3424"/>
    <w:rsid w:val="00DF08B0"/>
    <w:rsid w:val="00DF1EBD"/>
    <w:rsid w:val="00DF1F98"/>
    <w:rsid w:val="00DF2A32"/>
    <w:rsid w:val="00DF3314"/>
    <w:rsid w:val="00E00F92"/>
    <w:rsid w:val="00E01094"/>
    <w:rsid w:val="00E032C5"/>
    <w:rsid w:val="00E05708"/>
    <w:rsid w:val="00E06586"/>
    <w:rsid w:val="00E10200"/>
    <w:rsid w:val="00E10FC1"/>
    <w:rsid w:val="00E16DB0"/>
    <w:rsid w:val="00E17651"/>
    <w:rsid w:val="00E206F5"/>
    <w:rsid w:val="00E20A0E"/>
    <w:rsid w:val="00E229D0"/>
    <w:rsid w:val="00E24D39"/>
    <w:rsid w:val="00E2683C"/>
    <w:rsid w:val="00E26A71"/>
    <w:rsid w:val="00E279CB"/>
    <w:rsid w:val="00E31BCD"/>
    <w:rsid w:val="00E34819"/>
    <w:rsid w:val="00E34A1C"/>
    <w:rsid w:val="00E3733B"/>
    <w:rsid w:val="00E3735E"/>
    <w:rsid w:val="00E37872"/>
    <w:rsid w:val="00E37ECB"/>
    <w:rsid w:val="00E40345"/>
    <w:rsid w:val="00E4081B"/>
    <w:rsid w:val="00E41825"/>
    <w:rsid w:val="00E46EB4"/>
    <w:rsid w:val="00E50531"/>
    <w:rsid w:val="00E52BA6"/>
    <w:rsid w:val="00E55A4F"/>
    <w:rsid w:val="00E5666D"/>
    <w:rsid w:val="00E56848"/>
    <w:rsid w:val="00E63C30"/>
    <w:rsid w:val="00E65118"/>
    <w:rsid w:val="00E65A2B"/>
    <w:rsid w:val="00E7775C"/>
    <w:rsid w:val="00E83680"/>
    <w:rsid w:val="00E83FE0"/>
    <w:rsid w:val="00E84EAE"/>
    <w:rsid w:val="00E86A85"/>
    <w:rsid w:val="00E91393"/>
    <w:rsid w:val="00E97453"/>
    <w:rsid w:val="00EA0AB8"/>
    <w:rsid w:val="00EA366B"/>
    <w:rsid w:val="00EA3A29"/>
    <w:rsid w:val="00EA4D52"/>
    <w:rsid w:val="00EA5D09"/>
    <w:rsid w:val="00EA6443"/>
    <w:rsid w:val="00EC2BE1"/>
    <w:rsid w:val="00EC50CB"/>
    <w:rsid w:val="00ED1D3D"/>
    <w:rsid w:val="00ED515C"/>
    <w:rsid w:val="00ED530B"/>
    <w:rsid w:val="00ED68F7"/>
    <w:rsid w:val="00ED75DA"/>
    <w:rsid w:val="00EE02B1"/>
    <w:rsid w:val="00EE5526"/>
    <w:rsid w:val="00EF1137"/>
    <w:rsid w:val="00EF352D"/>
    <w:rsid w:val="00EF488A"/>
    <w:rsid w:val="00EF613F"/>
    <w:rsid w:val="00F01598"/>
    <w:rsid w:val="00F0199B"/>
    <w:rsid w:val="00F02BA9"/>
    <w:rsid w:val="00F05189"/>
    <w:rsid w:val="00F133D7"/>
    <w:rsid w:val="00F276E5"/>
    <w:rsid w:val="00F36558"/>
    <w:rsid w:val="00F40AD8"/>
    <w:rsid w:val="00F4103B"/>
    <w:rsid w:val="00F4131D"/>
    <w:rsid w:val="00F42696"/>
    <w:rsid w:val="00F4524B"/>
    <w:rsid w:val="00F456C0"/>
    <w:rsid w:val="00F46E92"/>
    <w:rsid w:val="00F53379"/>
    <w:rsid w:val="00F536FE"/>
    <w:rsid w:val="00F55AA7"/>
    <w:rsid w:val="00F56E97"/>
    <w:rsid w:val="00F571FF"/>
    <w:rsid w:val="00F57C45"/>
    <w:rsid w:val="00F6052E"/>
    <w:rsid w:val="00F62F25"/>
    <w:rsid w:val="00F64E0B"/>
    <w:rsid w:val="00F665E2"/>
    <w:rsid w:val="00F677D7"/>
    <w:rsid w:val="00F732FF"/>
    <w:rsid w:val="00F73A5C"/>
    <w:rsid w:val="00F74164"/>
    <w:rsid w:val="00F771F6"/>
    <w:rsid w:val="00F779FE"/>
    <w:rsid w:val="00F81FD4"/>
    <w:rsid w:val="00F83B48"/>
    <w:rsid w:val="00F863CD"/>
    <w:rsid w:val="00F924B8"/>
    <w:rsid w:val="00F94747"/>
    <w:rsid w:val="00FA0B41"/>
    <w:rsid w:val="00FA1540"/>
    <w:rsid w:val="00FA347A"/>
    <w:rsid w:val="00FA4DEF"/>
    <w:rsid w:val="00FA5CCF"/>
    <w:rsid w:val="00FB0513"/>
    <w:rsid w:val="00FB6687"/>
    <w:rsid w:val="00FB7CC2"/>
    <w:rsid w:val="00FC43BD"/>
    <w:rsid w:val="00FC5830"/>
    <w:rsid w:val="00FC5FBA"/>
    <w:rsid w:val="00FC66C9"/>
    <w:rsid w:val="00FC7593"/>
    <w:rsid w:val="00FC7E92"/>
    <w:rsid w:val="00FD1DFD"/>
    <w:rsid w:val="00FD1E3E"/>
    <w:rsid w:val="00FD28EA"/>
    <w:rsid w:val="00FD7B38"/>
    <w:rsid w:val="00FE200B"/>
    <w:rsid w:val="00FE3B0D"/>
    <w:rsid w:val="00FE43F4"/>
    <w:rsid w:val="00FE6136"/>
    <w:rsid w:val="00FE73F4"/>
    <w:rsid w:val="00FF040C"/>
    <w:rsid w:val="00FF3D58"/>
    <w:rsid w:val="00FF6BB8"/>
    <w:rsid w:val="1A7A6053"/>
    <w:rsid w:val="1FF12DC7"/>
    <w:rsid w:val="30F82051"/>
    <w:rsid w:val="3FA03678"/>
    <w:rsid w:val="473656F5"/>
    <w:rsid w:val="4A443204"/>
    <w:rsid w:val="54985F0E"/>
    <w:rsid w:val="5DB63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annotation text"/>
    <w:basedOn w:val="1"/>
    <w:link w:val="16"/>
    <w:semiHidden/>
    <w:unhideWhenUsed/>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Plain Text"/>
    <w:basedOn w:val="1"/>
    <w:link w:val="13"/>
    <w:qFormat/>
    <w:uiPriority w:val="99"/>
    <w:rPr>
      <w:rFonts w:ascii="宋体" w:hAnsi="Courier New"/>
      <w:kern w:val="0"/>
      <w:sz w:val="20"/>
      <w:szCs w:val="21"/>
    </w:rPr>
  </w:style>
  <w:style w:type="character" w:styleId="9">
    <w:name w:val="annotation reference"/>
    <w:basedOn w:val="8"/>
    <w:semiHidden/>
    <w:unhideWhenUsed/>
    <w:qFormat/>
    <w:uiPriority w:val="0"/>
    <w:rPr>
      <w:sz w:val="21"/>
      <w:szCs w:val="21"/>
    </w:rPr>
  </w:style>
  <w:style w:type="character" w:styleId="10">
    <w:name w:val="page number"/>
    <w:basedOn w:val="8"/>
    <w:qFormat/>
    <w:uiPriority w:val="0"/>
  </w:style>
  <w:style w:type="table" w:styleId="12">
    <w:name w:val="Table Grid"/>
    <w:basedOn w:val="11"/>
    <w:unhideWhenUs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纯文本 Char"/>
    <w:link w:val="7"/>
    <w:qFormat/>
    <w:uiPriority w:val="99"/>
    <w:rPr>
      <w:rFonts w:ascii="宋体" w:hAnsi="Courier New"/>
      <w:szCs w:val="21"/>
    </w:rPr>
  </w:style>
  <w:style w:type="character" w:customStyle="1" w:styleId="14">
    <w:name w:val="纯文本 字符1"/>
    <w:qFormat/>
    <w:uiPriority w:val="99"/>
    <w:rPr>
      <w:rFonts w:ascii="宋体" w:hAnsi="Courier New"/>
      <w:szCs w:val="21"/>
    </w:rPr>
  </w:style>
  <w:style w:type="paragraph" w:styleId="15">
    <w:name w:val="List Paragraph"/>
    <w:basedOn w:val="1"/>
    <w:qFormat/>
    <w:uiPriority w:val="99"/>
    <w:pPr>
      <w:ind w:firstLine="420" w:firstLineChars="200"/>
    </w:pPr>
    <w:rPr>
      <w:rFonts w:ascii="Calibri" w:hAnsi="Calibri"/>
    </w:rPr>
  </w:style>
  <w:style w:type="character" w:customStyle="1" w:styleId="16">
    <w:name w:val="批注文字 Char"/>
    <w:basedOn w:val="8"/>
    <w:link w:val="3"/>
    <w:semiHidden/>
    <w:qFormat/>
    <w:uiPriority w:val="0"/>
    <w:rPr>
      <w:kern w:val="2"/>
      <w:sz w:val="21"/>
      <w:szCs w:val="24"/>
    </w:rPr>
  </w:style>
  <w:style w:type="paragraph" w:customStyle="1" w:styleId="17">
    <w:name w:val="Table Paragraph"/>
    <w:basedOn w:val="1"/>
    <w:qFormat/>
    <w:uiPriority w:val="1"/>
    <w:pPr>
      <w:spacing w:before="145"/>
      <w:jc w:val="center"/>
    </w:pPr>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6231DF-FABD-4B21-AF73-DE6BA321CB9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885</Words>
  <Characters>5050</Characters>
  <Lines>42</Lines>
  <Paragraphs>11</Paragraphs>
  <TotalTime>9</TotalTime>
  <ScaleCrop>false</ScaleCrop>
  <LinksUpToDate>false</LinksUpToDate>
  <CharactersWithSpaces>5924</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2021-09-13T09:40:00Z</dcterms:created>
  <dc:creator>微软中国</dc:creator>
  <cp:lastModifiedBy>123</cp:lastModifiedBy>
  <cp:lastPrinted>2020-09-28T07:27:00Z</cp:lastPrinted>
  <dcterms:modified xsi:type="dcterms:W3CDTF">2021-09-13T13:53:45Z</dcterms:modified>
  <dc:title>环境与市政工程学院推荐优秀应届本科毕业生</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y fmtid="{D5CDD505-2E9C-101B-9397-08002B2CF9AE}" pid="3" name="ICV">
    <vt:lpwstr>B74B33437F6D4DB8B67C2CEDAE896EFE</vt:lpwstr>
  </property>
</Properties>
</file>