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4F1" w:rsidRDefault="00EA54F1">
      <w:pPr>
        <w:pStyle w:val="a3"/>
        <w:widowControl/>
        <w:spacing w:line="300" w:lineRule="atLeast"/>
        <w:jc w:val="center"/>
        <w:rPr>
          <w:rFonts w:ascii="黑体" w:eastAsia="黑体" w:hAnsi="黑体" w:cs="黑体"/>
          <w:b/>
          <w:bCs/>
          <w:color w:val="333333"/>
          <w:sz w:val="32"/>
          <w:szCs w:val="32"/>
        </w:rPr>
      </w:pPr>
    </w:p>
    <w:p w:rsidR="008436ED" w:rsidRPr="00187DF4" w:rsidRDefault="00EC0126" w:rsidP="00187DF4">
      <w:pPr>
        <w:pStyle w:val="a3"/>
        <w:widowControl/>
        <w:spacing w:line="300" w:lineRule="atLeast"/>
        <w:jc w:val="center"/>
        <w:rPr>
          <w:rFonts w:ascii="黑体" w:eastAsia="黑体" w:hAnsi="黑体" w:cs="黑体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color w:val="333333"/>
          <w:sz w:val="32"/>
          <w:szCs w:val="32"/>
        </w:rPr>
        <w:t>关于开展</w:t>
      </w:r>
      <w:r w:rsidR="00EA54F1">
        <w:rPr>
          <w:rFonts w:ascii="黑体" w:eastAsia="黑体" w:hAnsi="黑体" w:cs="黑体" w:hint="eastAsia"/>
          <w:b/>
          <w:bCs/>
          <w:color w:val="333333"/>
          <w:sz w:val="32"/>
          <w:szCs w:val="32"/>
        </w:rPr>
        <w:t>2020年</w:t>
      </w:r>
      <w:r w:rsidR="00EA54F1" w:rsidRPr="00EA54F1">
        <w:rPr>
          <w:rFonts w:ascii="黑体" w:eastAsia="黑体" w:hAnsi="黑体" w:cs="黑体" w:hint="eastAsia"/>
          <w:b/>
          <w:bCs/>
          <w:color w:val="333333"/>
          <w:sz w:val="32"/>
          <w:szCs w:val="32"/>
        </w:rPr>
        <w:t>青岛理工大学本科课程评估</w:t>
      </w:r>
      <w:r>
        <w:rPr>
          <w:rFonts w:ascii="黑体" w:eastAsia="黑体" w:hAnsi="黑体" w:cs="黑体" w:hint="eastAsia"/>
          <w:b/>
          <w:bCs/>
          <w:color w:val="333333"/>
          <w:sz w:val="32"/>
          <w:szCs w:val="32"/>
        </w:rPr>
        <w:t xml:space="preserve">的通知 </w:t>
      </w:r>
    </w:p>
    <w:p w:rsidR="008436ED" w:rsidRPr="00EA54F1" w:rsidRDefault="00EC0126" w:rsidP="003C632E">
      <w:pPr>
        <w:pStyle w:val="a3"/>
        <w:widowControl/>
        <w:adjustRightInd w:val="0"/>
        <w:spacing w:beforeAutospacing="0" w:afterAutospacing="0" w:line="520" w:lineRule="exact"/>
        <w:rPr>
          <w:b/>
          <w:sz w:val="28"/>
          <w:szCs w:val="28"/>
        </w:rPr>
      </w:pPr>
      <w:r w:rsidRPr="00EA54F1">
        <w:rPr>
          <w:rFonts w:ascii="仿宋_GB2312" w:eastAsia="仿宋_GB2312" w:hAnsi="Arial" w:cs="仿宋_GB2312"/>
          <w:b/>
          <w:color w:val="333333"/>
          <w:sz w:val="28"/>
          <w:szCs w:val="28"/>
        </w:rPr>
        <w:t>各</w:t>
      </w:r>
      <w:r w:rsidR="00A405C7">
        <w:rPr>
          <w:rFonts w:ascii="仿宋_GB2312" w:eastAsia="仿宋_GB2312" w:hAnsi="Arial" w:cs="仿宋_GB2312" w:hint="eastAsia"/>
          <w:b/>
          <w:color w:val="333333"/>
          <w:sz w:val="28"/>
          <w:szCs w:val="28"/>
        </w:rPr>
        <w:t>学院（部）</w:t>
      </w:r>
      <w:r w:rsidRPr="00EA54F1">
        <w:rPr>
          <w:rFonts w:ascii="仿宋_GB2312" w:eastAsia="仿宋_GB2312" w:hAnsi="Arial" w:cs="仿宋_GB2312"/>
          <w:b/>
          <w:color w:val="333333"/>
          <w:sz w:val="28"/>
          <w:szCs w:val="28"/>
        </w:rPr>
        <w:t>：</w:t>
      </w:r>
    </w:p>
    <w:p w:rsidR="008436ED" w:rsidRDefault="00EA54F1" w:rsidP="00D612C1">
      <w:pPr>
        <w:pStyle w:val="a3"/>
        <w:widowControl/>
        <w:adjustRightInd w:val="0"/>
        <w:spacing w:beforeAutospacing="0" w:afterAutospacing="0" w:line="520" w:lineRule="exact"/>
        <w:ind w:firstLineChars="200" w:firstLine="560"/>
        <w:rPr>
          <w:sz w:val="28"/>
          <w:szCs w:val="28"/>
        </w:rPr>
      </w:pPr>
      <w:r w:rsidRPr="00EA54F1">
        <w:rPr>
          <w:rFonts w:ascii="仿宋_GB2312" w:eastAsia="仿宋_GB2312" w:hAnsi="Arial" w:cs="仿宋_GB2312" w:hint="eastAsia"/>
          <w:color w:val="333333"/>
          <w:sz w:val="28"/>
          <w:szCs w:val="28"/>
        </w:rPr>
        <w:t>为突出</w:t>
      </w:r>
      <w:r w:rsidR="001126DE">
        <w:rPr>
          <w:rFonts w:ascii="仿宋_GB2312" w:eastAsia="仿宋_GB2312" w:hAnsi="Arial" w:cs="仿宋_GB2312" w:hint="eastAsia"/>
          <w:color w:val="333333"/>
          <w:sz w:val="28"/>
          <w:szCs w:val="28"/>
        </w:rPr>
        <w:t>“</w:t>
      </w:r>
      <w:r w:rsidRPr="00EA54F1">
        <w:rPr>
          <w:rFonts w:ascii="仿宋_GB2312" w:eastAsia="仿宋_GB2312" w:hAnsi="Arial" w:cs="仿宋_GB2312" w:hint="eastAsia"/>
          <w:color w:val="333333"/>
          <w:sz w:val="28"/>
          <w:szCs w:val="28"/>
        </w:rPr>
        <w:t>学生中心、产出导向、持续改进</w:t>
      </w:r>
      <w:r w:rsidR="001126DE">
        <w:rPr>
          <w:rFonts w:ascii="仿宋_GB2312" w:eastAsia="仿宋_GB2312" w:hAnsi="Arial" w:cs="仿宋_GB2312" w:hint="eastAsia"/>
          <w:color w:val="333333"/>
          <w:sz w:val="28"/>
          <w:szCs w:val="28"/>
        </w:rPr>
        <w:t>”</w:t>
      </w:r>
      <w:r w:rsidRPr="00EA54F1">
        <w:rPr>
          <w:rFonts w:ascii="仿宋_GB2312" w:eastAsia="仿宋_GB2312" w:hAnsi="Arial" w:cs="仿宋_GB2312" w:hint="eastAsia"/>
          <w:color w:val="333333"/>
          <w:sz w:val="28"/>
          <w:szCs w:val="28"/>
        </w:rPr>
        <w:t>的</w:t>
      </w:r>
      <w:r w:rsidR="001126DE">
        <w:rPr>
          <w:rFonts w:ascii="仿宋_GB2312" w:eastAsia="仿宋_GB2312" w:hAnsi="Arial" w:cs="仿宋_GB2312" w:hint="eastAsia"/>
          <w:color w:val="333333"/>
          <w:sz w:val="28"/>
          <w:szCs w:val="28"/>
        </w:rPr>
        <w:t>专业</w:t>
      </w:r>
      <w:r w:rsidRPr="00EA54F1">
        <w:rPr>
          <w:rFonts w:ascii="仿宋_GB2312" w:eastAsia="仿宋_GB2312" w:hAnsi="Arial" w:cs="仿宋_GB2312" w:hint="eastAsia"/>
          <w:color w:val="333333"/>
          <w:sz w:val="28"/>
          <w:szCs w:val="28"/>
        </w:rPr>
        <w:t>认证理念，建立健全学校内部质量保障体系，完善学校自评制度，有力发挥课程建设对专业发展的促进作用，不断推动学校本科教育的内涵式发展，有效提升学校人才培养质量，</w:t>
      </w:r>
      <w:r w:rsidR="00EC0126">
        <w:rPr>
          <w:rFonts w:ascii="仿宋_GB2312" w:eastAsia="仿宋_GB2312" w:hAnsi="Arial" w:cs="仿宋_GB2312"/>
          <w:color w:val="333333"/>
          <w:sz w:val="28"/>
          <w:szCs w:val="28"/>
        </w:rPr>
        <w:t>学校决定</w:t>
      </w:r>
      <w:r w:rsidR="0061608F">
        <w:rPr>
          <w:rFonts w:ascii="仿宋_GB2312" w:eastAsia="仿宋_GB2312" w:hAnsi="Arial" w:cs="仿宋_GB2312" w:hint="eastAsia"/>
          <w:color w:val="333333"/>
          <w:sz w:val="28"/>
          <w:szCs w:val="28"/>
        </w:rPr>
        <w:t>开展2020年本科课程</w:t>
      </w:r>
      <w:r w:rsidR="00EC0126">
        <w:rPr>
          <w:rFonts w:ascii="仿宋_GB2312" w:eastAsia="仿宋_GB2312" w:hAnsi="Arial" w:cs="仿宋_GB2312"/>
          <w:color w:val="333333"/>
          <w:sz w:val="28"/>
          <w:szCs w:val="28"/>
        </w:rPr>
        <w:t>校内专项评估，现将有关事项通知如下：</w:t>
      </w:r>
    </w:p>
    <w:p w:rsidR="008436ED" w:rsidRDefault="0061608F" w:rsidP="00D612C1">
      <w:pPr>
        <w:pStyle w:val="a3"/>
        <w:widowControl/>
        <w:numPr>
          <w:ilvl w:val="0"/>
          <w:numId w:val="1"/>
        </w:numPr>
        <w:adjustRightInd w:val="0"/>
        <w:spacing w:beforeAutospacing="0" w:afterAutospacing="0" w:line="520" w:lineRule="exact"/>
        <w:ind w:left="0" w:firstLineChars="200" w:firstLine="602"/>
        <w:rPr>
          <w:rFonts w:ascii="Arial" w:hAnsi="Arial" w:cs="Arial"/>
          <w:color w:val="333333"/>
          <w:sz w:val="30"/>
          <w:szCs w:val="30"/>
        </w:rPr>
      </w:pPr>
      <w:r>
        <w:rPr>
          <w:rFonts w:ascii="黑体" w:eastAsia="黑体" w:hAnsi="宋体" w:cs="黑体" w:hint="eastAsia"/>
          <w:b/>
          <w:color w:val="333333"/>
          <w:sz w:val="30"/>
          <w:szCs w:val="30"/>
        </w:rPr>
        <w:t>评估对象</w:t>
      </w:r>
    </w:p>
    <w:p w:rsidR="0061608F" w:rsidRPr="0061608F" w:rsidRDefault="0061608F" w:rsidP="00D612C1">
      <w:pPr>
        <w:pStyle w:val="a3"/>
        <w:widowControl/>
        <w:adjustRightInd w:val="0"/>
        <w:spacing w:beforeAutospacing="0" w:afterAutospacing="0" w:line="520" w:lineRule="exact"/>
        <w:ind w:firstLineChars="200" w:firstLine="560"/>
        <w:rPr>
          <w:rFonts w:ascii="仿宋_GB2312" w:eastAsia="仿宋_GB2312" w:hAnsi="Arial" w:cs="仿宋_GB2312"/>
          <w:color w:val="333333"/>
          <w:sz w:val="28"/>
          <w:szCs w:val="28"/>
        </w:rPr>
      </w:pPr>
      <w:r w:rsidRPr="0061608F">
        <w:rPr>
          <w:rFonts w:ascii="仿宋_GB2312" w:eastAsia="仿宋_GB2312" w:hAnsi="Arial" w:cs="仿宋_GB2312" w:hint="eastAsia"/>
          <w:color w:val="333333"/>
          <w:sz w:val="28"/>
          <w:szCs w:val="28"/>
        </w:rPr>
        <w:t>评估范围为本科生开设的公共基础课、学科基础课、专业必修课和专业选修课。采取课程自评、学院</w:t>
      </w:r>
      <w:r>
        <w:rPr>
          <w:rFonts w:ascii="仿宋_GB2312" w:eastAsia="仿宋_GB2312" w:hAnsi="Arial" w:cs="仿宋_GB2312" w:hint="eastAsia"/>
          <w:color w:val="333333"/>
          <w:sz w:val="28"/>
          <w:szCs w:val="28"/>
        </w:rPr>
        <w:t>（部）</w:t>
      </w:r>
      <w:r w:rsidRPr="0061608F">
        <w:rPr>
          <w:rFonts w:ascii="仿宋_GB2312" w:eastAsia="仿宋_GB2312" w:hAnsi="Arial" w:cs="仿宋_GB2312" w:hint="eastAsia"/>
          <w:color w:val="333333"/>
          <w:sz w:val="28"/>
          <w:szCs w:val="28"/>
        </w:rPr>
        <w:t>推荐</w:t>
      </w:r>
      <w:r>
        <w:rPr>
          <w:rFonts w:ascii="仿宋_GB2312" w:eastAsia="仿宋_GB2312" w:hAnsi="Arial" w:cs="仿宋_GB2312" w:hint="eastAsia"/>
          <w:color w:val="333333"/>
          <w:sz w:val="28"/>
          <w:szCs w:val="28"/>
        </w:rPr>
        <w:t>，学校初审</w:t>
      </w:r>
      <w:r w:rsidRPr="0061608F">
        <w:rPr>
          <w:rFonts w:ascii="仿宋_GB2312" w:eastAsia="仿宋_GB2312" w:hAnsi="Arial" w:cs="仿宋_GB2312" w:hint="eastAsia"/>
          <w:color w:val="333333"/>
          <w:sz w:val="28"/>
          <w:szCs w:val="28"/>
        </w:rPr>
        <w:t>的方式确定评估课程名单。</w:t>
      </w:r>
    </w:p>
    <w:p w:rsidR="0061608F" w:rsidRDefault="0061608F" w:rsidP="00D612C1">
      <w:pPr>
        <w:pStyle w:val="a3"/>
        <w:widowControl/>
        <w:adjustRightInd w:val="0"/>
        <w:spacing w:beforeAutospacing="0" w:afterAutospacing="0" w:line="520" w:lineRule="exact"/>
        <w:ind w:firstLineChars="200" w:firstLine="560"/>
        <w:rPr>
          <w:rFonts w:ascii="仿宋_GB2312" w:eastAsia="仿宋_GB2312" w:hAnsi="Arial" w:cs="仿宋_GB2312"/>
          <w:color w:val="333333"/>
          <w:sz w:val="28"/>
          <w:szCs w:val="28"/>
        </w:rPr>
      </w:pPr>
      <w:r>
        <w:rPr>
          <w:rFonts w:ascii="仿宋_GB2312" w:eastAsia="仿宋_GB2312" w:hAnsi="Arial" w:cs="仿宋_GB2312" w:hint="eastAsia"/>
          <w:color w:val="333333"/>
          <w:sz w:val="28"/>
          <w:szCs w:val="28"/>
        </w:rPr>
        <w:t>2020年建议学院（部）推荐课程以公共基础、学科基础和专业核心课程为主。</w:t>
      </w:r>
    </w:p>
    <w:p w:rsidR="0061608F" w:rsidRDefault="0061608F" w:rsidP="00D612C1">
      <w:pPr>
        <w:pStyle w:val="a3"/>
        <w:widowControl/>
        <w:adjustRightInd w:val="0"/>
        <w:spacing w:beforeAutospacing="0" w:afterAutospacing="0" w:line="520" w:lineRule="exact"/>
        <w:ind w:firstLineChars="200" w:firstLine="560"/>
        <w:rPr>
          <w:rFonts w:ascii="仿宋_GB2312" w:eastAsia="仿宋_GB2312" w:hAnsi="Arial" w:cs="仿宋_GB2312"/>
          <w:color w:val="333333"/>
          <w:sz w:val="28"/>
          <w:szCs w:val="28"/>
        </w:rPr>
      </w:pPr>
      <w:r>
        <w:rPr>
          <w:rFonts w:ascii="仿宋_GB2312" w:eastAsia="仿宋_GB2312" w:hAnsi="Arial" w:cs="仿宋_GB2312" w:hint="eastAsia"/>
          <w:color w:val="333333"/>
          <w:sz w:val="28"/>
          <w:szCs w:val="28"/>
        </w:rPr>
        <w:t>各学院须推荐不少于分配门数的课程，具体见下表</w:t>
      </w:r>
      <w:r w:rsidR="00C56217">
        <w:rPr>
          <w:rFonts w:ascii="仿宋_GB2312" w:eastAsia="仿宋_GB2312" w:hAnsi="Arial" w:cs="仿宋_GB2312" w:hint="eastAsia"/>
          <w:color w:val="333333"/>
          <w:sz w:val="28"/>
          <w:szCs w:val="28"/>
        </w:rPr>
        <w:t>：</w:t>
      </w:r>
    </w:p>
    <w:p w:rsidR="003B1267" w:rsidRPr="003B1267" w:rsidRDefault="003B1267" w:rsidP="003B1267">
      <w:pPr>
        <w:jc w:val="center"/>
        <w:rPr>
          <w:rFonts w:ascii="仿宋" w:eastAsia="仿宋" w:hAnsi="仿宋" w:cs="Times New Roman"/>
          <w:b/>
          <w:sz w:val="28"/>
          <w:szCs w:val="28"/>
        </w:rPr>
      </w:pPr>
      <w:r w:rsidRPr="003B1267">
        <w:rPr>
          <w:rFonts w:ascii="仿宋" w:eastAsia="仿宋" w:hAnsi="仿宋" w:cs="Times New Roman" w:hint="eastAsia"/>
          <w:b/>
          <w:sz w:val="28"/>
          <w:szCs w:val="28"/>
        </w:rPr>
        <w:t>校内课程评估分配表</w:t>
      </w:r>
    </w:p>
    <w:tbl>
      <w:tblPr>
        <w:tblStyle w:val="a7"/>
        <w:tblW w:w="0" w:type="auto"/>
        <w:tblLook w:val="04A0"/>
      </w:tblPr>
      <w:tblGrid>
        <w:gridCol w:w="2130"/>
        <w:gridCol w:w="2130"/>
        <w:gridCol w:w="2131"/>
        <w:gridCol w:w="2131"/>
      </w:tblGrid>
      <w:tr w:rsidR="003B1267" w:rsidRPr="003B1267" w:rsidTr="00B91EC9">
        <w:tc>
          <w:tcPr>
            <w:tcW w:w="2130" w:type="dxa"/>
            <w:vAlign w:val="center"/>
          </w:tcPr>
          <w:p w:rsidR="003B1267" w:rsidRPr="003B1267" w:rsidRDefault="003B1267" w:rsidP="003B1267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r w:rsidRPr="003B1267">
              <w:rPr>
                <w:rFonts w:ascii="仿宋" w:eastAsia="仿宋" w:hAnsi="仿宋" w:cs="Times New Roman" w:hint="eastAsia"/>
                <w:sz w:val="24"/>
              </w:rPr>
              <w:t>学院</w:t>
            </w:r>
            <w:r w:rsidRPr="00D612C1">
              <w:rPr>
                <w:rFonts w:ascii="仿宋" w:eastAsia="仿宋" w:hAnsi="仿宋" w:cs="Times New Roman" w:hint="eastAsia"/>
                <w:sz w:val="24"/>
              </w:rPr>
              <w:t>（部）</w:t>
            </w:r>
          </w:p>
        </w:tc>
        <w:tc>
          <w:tcPr>
            <w:tcW w:w="2130" w:type="dxa"/>
            <w:vAlign w:val="center"/>
          </w:tcPr>
          <w:p w:rsidR="003B1267" w:rsidRPr="003B1267" w:rsidRDefault="00C44A88" w:rsidP="003B1267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r w:rsidRPr="00D612C1">
              <w:rPr>
                <w:rFonts w:ascii="仿宋" w:eastAsia="仿宋" w:hAnsi="仿宋" w:cs="Times New Roman" w:hint="eastAsia"/>
                <w:sz w:val="24"/>
              </w:rPr>
              <w:t>课程推荐</w:t>
            </w:r>
            <w:r w:rsidR="003B1267" w:rsidRPr="003B1267">
              <w:rPr>
                <w:rFonts w:ascii="仿宋" w:eastAsia="仿宋" w:hAnsi="仿宋" w:cs="Times New Roman" w:hint="eastAsia"/>
                <w:sz w:val="24"/>
              </w:rPr>
              <w:t>数量</w:t>
            </w:r>
          </w:p>
        </w:tc>
        <w:tc>
          <w:tcPr>
            <w:tcW w:w="2131" w:type="dxa"/>
            <w:vAlign w:val="center"/>
          </w:tcPr>
          <w:p w:rsidR="003B1267" w:rsidRPr="003B1267" w:rsidRDefault="00C44A88" w:rsidP="003B1267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r w:rsidRPr="00D612C1">
              <w:rPr>
                <w:rFonts w:ascii="仿宋" w:eastAsia="仿宋" w:hAnsi="仿宋" w:cs="Times New Roman" w:hint="eastAsia"/>
                <w:sz w:val="24"/>
              </w:rPr>
              <w:t>学院（部）</w:t>
            </w:r>
          </w:p>
        </w:tc>
        <w:tc>
          <w:tcPr>
            <w:tcW w:w="2131" w:type="dxa"/>
            <w:vAlign w:val="center"/>
          </w:tcPr>
          <w:p w:rsidR="003B1267" w:rsidRPr="003B1267" w:rsidRDefault="00C44A88" w:rsidP="003B1267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r w:rsidRPr="00D612C1">
              <w:rPr>
                <w:rFonts w:ascii="仿宋" w:eastAsia="仿宋" w:hAnsi="仿宋" w:cs="Times New Roman" w:hint="eastAsia"/>
                <w:sz w:val="24"/>
              </w:rPr>
              <w:t>课程推荐数量</w:t>
            </w:r>
          </w:p>
        </w:tc>
      </w:tr>
      <w:tr w:rsidR="00C44A88" w:rsidRPr="003B1267" w:rsidTr="00B91EC9">
        <w:tc>
          <w:tcPr>
            <w:tcW w:w="2130" w:type="dxa"/>
            <w:vAlign w:val="center"/>
          </w:tcPr>
          <w:p w:rsidR="00C44A88" w:rsidRPr="003B1267" w:rsidRDefault="00C44A88" w:rsidP="003B1267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r w:rsidRPr="003B1267">
              <w:rPr>
                <w:rFonts w:ascii="仿宋" w:eastAsia="仿宋" w:hAnsi="仿宋" w:cs="Times New Roman" w:hint="eastAsia"/>
                <w:sz w:val="24"/>
              </w:rPr>
              <w:t>土木工程学院</w:t>
            </w:r>
          </w:p>
        </w:tc>
        <w:tc>
          <w:tcPr>
            <w:tcW w:w="2130" w:type="dxa"/>
            <w:vAlign w:val="center"/>
          </w:tcPr>
          <w:p w:rsidR="00C44A88" w:rsidRPr="003B1267" w:rsidRDefault="00C44A88" w:rsidP="00606644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r w:rsidRPr="003B1267">
              <w:rPr>
                <w:rFonts w:ascii="仿宋" w:eastAsia="仿宋" w:hAnsi="仿宋" w:cs="Times New Roman" w:hint="eastAsia"/>
                <w:sz w:val="24"/>
              </w:rPr>
              <w:t>3-5</w:t>
            </w:r>
          </w:p>
        </w:tc>
        <w:tc>
          <w:tcPr>
            <w:tcW w:w="2131" w:type="dxa"/>
            <w:vAlign w:val="center"/>
          </w:tcPr>
          <w:p w:rsidR="00C44A88" w:rsidRPr="003B1267" w:rsidRDefault="00C44A88" w:rsidP="00912A11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r w:rsidRPr="003B1267">
              <w:rPr>
                <w:rFonts w:ascii="仿宋" w:eastAsia="仿宋" w:hAnsi="仿宋" w:cs="Times New Roman" w:hint="eastAsia"/>
                <w:sz w:val="24"/>
              </w:rPr>
              <w:t>管理工程学院</w:t>
            </w:r>
          </w:p>
        </w:tc>
        <w:tc>
          <w:tcPr>
            <w:tcW w:w="2131" w:type="dxa"/>
            <w:vAlign w:val="center"/>
          </w:tcPr>
          <w:p w:rsidR="00C44A88" w:rsidRPr="003B1267" w:rsidRDefault="00C44A88" w:rsidP="005B45D0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r w:rsidRPr="003B1267">
              <w:rPr>
                <w:rFonts w:ascii="仿宋" w:eastAsia="仿宋" w:hAnsi="仿宋" w:cs="Times New Roman" w:hint="eastAsia"/>
                <w:sz w:val="24"/>
              </w:rPr>
              <w:t>4-5</w:t>
            </w:r>
          </w:p>
        </w:tc>
      </w:tr>
      <w:tr w:rsidR="00C44A88" w:rsidRPr="003B1267" w:rsidTr="00B91EC9">
        <w:tc>
          <w:tcPr>
            <w:tcW w:w="2130" w:type="dxa"/>
            <w:vAlign w:val="center"/>
          </w:tcPr>
          <w:p w:rsidR="00C44A88" w:rsidRPr="003B1267" w:rsidRDefault="00C44A88" w:rsidP="003B1267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r w:rsidRPr="003B1267">
              <w:rPr>
                <w:rFonts w:ascii="仿宋" w:eastAsia="仿宋" w:hAnsi="仿宋" w:cs="Times New Roman" w:hint="eastAsia"/>
                <w:sz w:val="24"/>
              </w:rPr>
              <w:t>机械与汽车工程学院</w:t>
            </w:r>
          </w:p>
        </w:tc>
        <w:tc>
          <w:tcPr>
            <w:tcW w:w="2130" w:type="dxa"/>
            <w:vAlign w:val="center"/>
          </w:tcPr>
          <w:p w:rsidR="00C44A88" w:rsidRPr="003B1267" w:rsidRDefault="00C44A88" w:rsidP="00606644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r w:rsidRPr="003B1267">
              <w:rPr>
                <w:rFonts w:ascii="仿宋" w:eastAsia="仿宋" w:hAnsi="仿宋" w:cs="Times New Roman"/>
                <w:sz w:val="24"/>
              </w:rPr>
              <w:t>3-5</w:t>
            </w:r>
          </w:p>
        </w:tc>
        <w:tc>
          <w:tcPr>
            <w:tcW w:w="2131" w:type="dxa"/>
            <w:vAlign w:val="center"/>
          </w:tcPr>
          <w:p w:rsidR="00C44A88" w:rsidRPr="003B1267" w:rsidRDefault="00C44A88" w:rsidP="00912A11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r w:rsidRPr="003B1267">
              <w:rPr>
                <w:rFonts w:ascii="仿宋" w:eastAsia="仿宋" w:hAnsi="仿宋" w:cs="Times New Roman" w:hint="eastAsia"/>
                <w:sz w:val="24"/>
              </w:rPr>
              <w:t>商学院</w:t>
            </w:r>
          </w:p>
        </w:tc>
        <w:tc>
          <w:tcPr>
            <w:tcW w:w="2131" w:type="dxa"/>
            <w:vAlign w:val="center"/>
          </w:tcPr>
          <w:p w:rsidR="00C44A88" w:rsidRPr="003B1267" w:rsidRDefault="00C44A88" w:rsidP="005B45D0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r w:rsidRPr="003B1267">
              <w:rPr>
                <w:rFonts w:ascii="仿宋" w:eastAsia="仿宋" w:hAnsi="仿宋" w:cs="Times New Roman" w:hint="eastAsia"/>
                <w:sz w:val="24"/>
              </w:rPr>
              <w:t>4-5</w:t>
            </w:r>
          </w:p>
        </w:tc>
      </w:tr>
      <w:tr w:rsidR="00C44A88" w:rsidRPr="003B1267" w:rsidTr="00B91EC9">
        <w:tc>
          <w:tcPr>
            <w:tcW w:w="2130" w:type="dxa"/>
            <w:vAlign w:val="center"/>
          </w:tcPr>
          <w:p w:rsidR="00C44A88" w:rsidRPr="003B1267" w:rsidRDefault="00C44A88" w:rsidP="003B1267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r w:rsidRPr="003B1267">
              <w:rPr>
                <w:rFonts w:ascii="仿宋" w:eastAsia="仿宋" w:hAnsi="仿宋" w:cs="Times New Roman" w:hint="eastAsia"/>
                <w:sz w:val="24"/>
              </w:rPr>
              <w:t>建筑与城乡规划学院</w:t>
            </w:r>
          </w:p>
        </w:tc>
        <w:tc>
          <w:tcPr>
            <w:tcW w:w="2130" w:type="dxa"/>
            <w:vAlign w:val="center"/>
          </w:tcPr>
          <w:p w:rsidR="00C44A88" w:rsidRPr="003B1267" w:rsidRDefault="00C44A88" w:rsidP="00606644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r w:rsidRPr="003B1267">
              <w:rPr>
                <w:rFonts w:ascii="仿宋" w:eastAsia="仿宋" w:hAnsi="仿宋" w:cs="Times New Roman" w:hint="eastAsia"/>
                <w:sz w:val="24"/>
              </w:rPr>
              <w:t>4-5</w:t>
            </w:r>
          </w:p>
        </w:tc>
        <w:tc>
          <w:tcPr>
            <w:tcW w:w="2131" w:type="dxa"/>
            <w:vAlign w:val="center"/>
          </w:tcPr>
          <w:p w:rsidR="00C44A88" w:rsidRPr="003B1267" w:rsidRDefault="00C44A88" w:rsidP="00912A11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r w:rsidRPr="003B1267">
              <w:rPr>
                <w:rFonts w:ascii="仿宋" w:eastAsia="仿宋" w:hAnsi="仿宋" w:cs="Times New Roman" w:hint="eastAsia"/>
                <w:sz w:val="24"/>
              </w:rPr>
              <w:t>人文与外国语学院</w:t>
            </w:r>
          </w:p>
        </w:tc>
        <w:tc>
          <w:tcPr>
            <w:tcW w:w="2131" w:type="dxa"/>
            <w:vAlign w:val="center"/>
          </w:tcPr>
          <w:p w:rsidR="00C44A88" w:rsidRPr="003B1267" w:rsidRDefault="00C44A88" w:rsidP="005B45D0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r w:rsidRPr="003B1267">
              <w:rPr>
                <w:rFonts w:ascii="仿宋" w:eastAsia="仿宋" w:hAnsi="仿宋" w:cs="Times New Roman" w:hint="eastAsia"/>
                <w:sz w:val="24"/>
              </w:rPr>
              <w:t>4-5</w:t>
            </w:r>
          </w:p>
        </w:tc>
      </w:tr>
      <w:tr w:rsidR="00C44A88" w:rsidRPr="003B1267" w:rsidTr="00B91EC9">
        <w:tc>
          <w:tcPr>
            <w:tcW w:w="2130" w:type="dxa"/>
            <w:vAlign w:val="center"/>
          </w:tcPr>
          <w:p w:rsidR="00C44A88" w:rsidRPr="003B1267" w:rsidRDefault="00C44A88" w:rsidP="003B1267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r w:rsidRPr="003B1267">
              <w:rPr>
                <w:rFonts w:ascii="仿宋" w:eastAsia="仿宋" w:hAnsi="仿宋" w:cs="Times New Roman" w:hint="eastAsia"/>
                <w:sz w:val="24"/>
              </w:rPr>
              <w:t>环境与市政工程</w:t>
            </w:r>
            <w:r w:rsidRPr="003B1267">
              <w:rPr>
                <w:rFonts w:ascii="仿宋" w:eastAsia="仿宋" w:hAnsi="仿宋" w:cs="Times New Roman" w:hint="eastAsia"/>
                <w:sz w:val="24"/>
              </w:rPr>
              <w:lastRenderedPageBreak/>
              <w:t>学院</w:t>
            </w:r>
          </w:p>
        </w:tc>
        <w:tc>
          <w:tcPr>
            <w:tcW w:w="2130" w:type="dxa"/>
            <w:vAlign w:val="center"/>
          </w:tcPr>
          <w:p w:rsidR="00C44A88" w:rsidRPr="003B1267" w:rsidRDefault="00C44A88" w:rsidP="00606644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r w:rsidRPr="003B1267">
              <w:rPr>
                <w:rFonts w:ascii="仿宋" w:eastAsia="仿宋" w:hAnsi="仿宋" w:cs="Times New Roman"/>
                <w:sz w:val="24"/>
              </w:rPr>
              <w:lastRenderedPageBreak/>
              <w:t>4-5</w:t>
            </w:r>
          </w:p>
        </w:tc>
        <w:tc>
          <w:tcPr>
            <w:tcW w:w="2131" w:type="dxa"/>
            <w:vAlign w:val="center"/>
          </w:tcPr>
          <w:p w:rsidR="00C44A88" w:rsidRPr="003B1267" w:rsidRDefault="00C44A88" w:rsidP="00912A11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r w:rsidRPr="003B1267">
              <w:rPr>
                <w:rFonts w:ascii="仿宋" w:eastAsia="仿宋" w:hAnsi="仿宋" w:cs="Times New Roman" w:hint="eastAsia"/>
                <w:sz w:val="24"/>
              </w:rPr>
              <w:t>艺术与设计学院</w:t>
            </w:r>
          </w:p>
        </w:tc>
        <w:tc>
          <w:tcPr>
            <w:tcW w:w="2131" w:type="dxa"/>
            <w:vAlign w:val="center"/>
          </w:tcPr>
          <w:p w:rsidR="00C44A88" w:rsidRPr="003B1267" w:rsidRDefault="00C44A88" w:rsidP="005B45D0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r w:rsidRPr="003B1267">
              <w:rPr>
                <w:rFonts w:ascii="仿宋" w:eastAsia="仿宋" w:hAnsi="仿宋" w:cs="Times New Roman" w:hint="eastAsia"/>
                <w:sz w:val="24"/>
              </w:rPr>
              <w:t>4-5</w:t>
            </w:r>
          </w:p>
        </w:tc>
      </w:tr>
      <w:tr w:rsidR="00C44A88" w:rsidRPr="003B1267" w:rsidTr="00B91EC9">
        <w:tc>
          <w:tcPr>
            <w:tcW w:w="2130" w:type="dxa"/>
            <w:vAlign w:val="center"/>
          </w:tcPr>
          <w:p w:rsidR="00C44A88" w:rsidRPr="003B1267" w:rsidRDefault="00C44A88" w:rsidP="003B1267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r w:rsidRPr="003B1267">
              <w:rPr>
                <w:rFonts w:ascii="仿宋" w:eastAsia="仿宋" w:hAnsi="仿宋" w:cs="Times New Roman" w:hint="eastAsia"/>
                <w:sz w:val="24"/>
              </w:rPr>
              <w:lastRenderedPageBreak/>
              <w:t>信息与控制工程学院</w:t>
            </w:r>
          </w:p>
        </w:tc>
        <w:tc>
          <w:tcPr>
            <w:tcW w:w="2130" w:type="dxa"/>
            <w:vAlign w:val="center"/>
          </w:tcPr>
          <w:p w:rsidR="00C44A88" w:rsidRPr="003B1267" w:rsidRDefault="00C44A88" w:rsidP="00606644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r w:rsidRPr="003B1267">
              <w:rPr>
                <w:rFonts w:ascii="仿宋" w:eastAsia="仿宋" w:hAnsi="仿宋" w:cs="Times New Roman" w:hint="eastAsia"/>
                <w:sz w:val="24"/>
              </w:rPr>
              <w:t>3-5</w:t>
            </w:r>
          </w:p>
        </w:tc>
        <w:tc>
          <w:tcPr>
            <w:tcW w:w="2131" w:type="dxa"/>
            <w:vAlign w:val="center"/>
          </w:tcPr>
          <w:p w:rsidR="00C44A88" w:rsidRPr="003B1267" w:rsidRDefault="00C44A88" w:rsidP="00912A11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r w:rsidRPr="003B1267">
              <w:rPr>
                <w:rFonts w:ascii="仿宋" w:eastAsia="仿宋" w:hAnsi="仿宋" w:cs="Times New Roman" w:hint="eastAsia"/>
                <w:sz w:val="24"/>
              </w:rPr>
              <w:t>马克思主义学院</w:t>
            </w:r>
          </w:p>
        </w:tc>
        <w:tc>
          <w:tcPr>
            <w:tcW w:w="2131" w:type="dxa"/>
            <w:vAlign w:val="center"/>
          </w:tcPr>
          <w:p w:rsidR="00C44A88" w:rsidRPr="003B1267" w:rsidRDefault="00C44A88" w:rsidP="005B45D0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r w:rsidRPr="003B1267">
              <w:rPr>
                <w:rFonts w:ascii="仿宋" w:eastAsia="仿宋" w:hAnsi="仿宋" w:cs="Times New Roman" w:hint="eastAsia"/>
                <w:sz w:val="24"/>
              </w:rPr>
              <w:t>3</w:t>
            </w:r>
          </w:p>
        </w:tc>
      </w:tr>
      <w:tr w:rsidR="00C44A88" w:rsidRPr="003B1267" w:rsidTr="00B91EC9">
        <w:tc>
          <w:tcPr>
            <w:tcW w:w="2130" w:type="dxa"/>
            <w:vAlign w:val="center"/>
          </w:tcPr>
          <w:p w:rsidR="00C44A88" w:rsidRPr="003B1267" w:rsidRDefault="00C44A88" w:rsidP="003B1267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r w:rsidRPr="003B1267">
              <w:rPr>
                <w:rFonts w:ascii="仿宋" w:eastAsia="仿宋" w:hAnsi="仿宋" w:cs="Times New Roman" w:hint="eastAsia"/>
                <w:sz w:val="24"/>
              </w:rPr>
              <w:t>理学院</w:t>
            </w:r>
          </w:p>
        </w:tc>
        <w:tc>
          <w:tcPr>
            <w:tcW w:w="2130" w:type="dxa"/>
            <w:vAlign w:val="center"/>
          </w:tcPr>
          <w:p w:rsidR="00C44A88" w:rsidRPr="003B1267" w:rsidRDefault="00C44A88" w:rsidP="00606644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r w:rsidRPr="003B1267">
              <w:rPr>
                <w:rFonts w:ascii="仿宋" w:eastAsia="仿宋" w:hAnsi="仿宋" w:cs="Times New Roman" w:hint="eastAsia"/>
                <w:sz w:val="24"/>
              </w:rPr>
              <w:t>11门（其中专业课程4-5门，其他为公共基础课程）</w:t>
            </w:r>
          </w:p>
        </w:tc>
        <w:tc>
          <w:tcPr>
            <w:tcW w:w="2131" w:type="dxa"/>
            <w:vAlign w:val="center"/>
          </w:tcPr>
          <w:p w:rsidR="00C44A88" w:rsidRPr="003B1267" w:rsidRDefault="00C44A88" w:rsidP="00912A11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r w:rsidRPr="003B1267">
              <w:rPr>
                <w:rFonts w:ascii="仿宋" w:eastAsia="仿宋" w:hAnsi="仿宋" w:cs="Times New Roman" w:hint="eastAsia"/>
                <w:sz w:val="24"/>
              </w:rPr>
              <w:t>体育部</w:t>
            </w:r>
          </w:p>
        </w:tc>
        <w:tc>
          <w:tcPr>
            <w:tcW w:w="2131" w:type="dxa"/>
            <w:vAlign w:val="center"/>
          </w:tcPr>
          <w:p w:rsidR="00C44A88" w:rsidRPr="003B1267" w:rsidRDefault="00C44A88" w:rsidP="005B45D0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r w:rsidRPr="003B1267">
              <w:rPr>
                <w:rFonts w:ascii="仿宋" w:eastAsia="仿宋" w:hAnsi="仿宋" w:cs="Times New Roman" w:hint="eastAsia"/>
                <w:sz w:val="24"/>
              </w:rPr>
              <w:t>3</w:t>
            </w:r>
          </w:p>
        </w:tc>
      </w:tr>
    </w:tbl>
    <w:p w:rsidR="008436ED" w:rsidRDefault="008436ED">
      <w:pPr>
        <w:pStyle w:val="a3"/>
        <w:widowControl/>
        <w:spacing w:beforeAutospacing="0" w:afterAutospacing="0" w:line="560" w:lineRule="exact"/>
        <w:ind w:firstLine="627"/>
        <w:rPr>
          <w:sz w:val="28"/>
          <w:szCs w:val="28"/>
        </w:rPr>
      </w:pPr>
    </w:p>
    <w:p w:rsidR="008436ED" w:rsidRDefault="003B1267" w:rsidP="00D612C1">
      <w:pPr>
        <w:pStyle w:val="a3"/>
        <w:widowControl/>
        <w:adjustRightInd w:val="0"/>
        <w:snapToGrid w:val="0"/>
        <w:spacing w:beforeAutospacing="0" w:afterAutospacing="0" w:line="520" w:lineRule="exact"/>
        <w:ind w:firstLineChars="200" w:firstLine="602"/>
        <w:rPr>
          <w:sz w:val="30"/>
          <w:szCs w:val="30"/>
        </w:rPr>
      </w:pPr>
      <w:r>
        <w:rPr>
          <w:rFonts w:ascii="黑体" w:eastAsia="黑体" w:hAnsi="宋体" w:cs="黑体" w:hint="eastAsia"/>
          <w:b/>
          <w:color w:val="333333"/>
          <w:sz w:val="30"/>
          <w:szCs w:val="30"/>
        </w:rPr>
        <w:t>二</w:t>
      </w:r>
      <w:r w:rsidR="00EC0126">
        <w:rPr>
          <w:rFonts w:ascii="黑体" w:eastAsia="黑体" w:hAnsi="宋体" w:cs="黑体" w:hint="eastAsia"/>
          <w:b/>
          <w:color w:val="333333"/>
          <w:sz w:val="30"/>
          <w:szCs w:val="30"/>
        </w:rPr>
        <w:t>、评估依据</w:t>
      </w:r>
    </w:p>
    <w:p w:rsidR="008436ED" w:rsidRDefault="003C632E" w:rsidP="00D612C1">
      <w:pPr>
        <w:pStyle w:val="a3"/>
        <w:widowControl/>
        <w:adjustRightInd w:val="0"/>
        <w:snapToGrid w:val="0"/>
        <w:spacing w:beforeAutospacing="0" w:afterAutospacing="0" w:line="520" w:lineRule="exact"/>
        <w:ind w:firstLineChars="200" w:firstLine="560"/>
        <w:rPr>
          <w:sz w:val="28"/>
          <w:szCs w:val="28"/>
        </w:rPr>
      </w:pPr>
      <w:r>
        <w:rPr>
          <w:rFonts w:ascii="仿宋_GB2312" w:eastAsia="仿宋_GB2312" w:hAnsi="Arial" w:cs="仿宋_GB2312" w:hint="eastAsia"/>
          <w:color w:val="333333"/>
          <w:sz w:val="28"/>
          <w:szCs w:val="28"/>
        </w:rPr>
        <w:t>课程</w:t>
      </w:r>
      <w:r>
        <w:rPr>
          <w:rFonts w:ascii="仿宋_GB2312" w:eastAsia="仿宋_GB2312" w:hAnsi="Arial" w:cs="仿宋_GB2312"/>
          <w:color w:val="333333"/>
          <w:sz w:val="28"/>
          <w:szCs w:val="28"/>
        </w:rPr>
        <w:t>评估的主要依据</w:t>
      </w:r>
      <w:r>
        <w:rPr>
          <w:rFonts w:ascii="仿宋_GB2312" w:eastAsia="仿宋_GB2312" w:hAnsi="Arial" w:cs="仿宋_GB2312" w:hint="eastAsia"/>
          <w:color w:val="333333"/>
          <w:sz w:val="28"/>
          <w:szCs w:val="28"/>
        </w:rPr>
        <w:t>为</w:t>
      </w:r>
      <w:r w:rsidR="003F19BF">
        <w:rPr>
          <w:rFonts w:ascii="仿宋_GB2312" w:eastAsia="仿宋_GB2312" w:hAnsi="Arial" w:cs="仿宋_GB2312"/>
          <w:color w:val="333333"/>
          <w:sz w:val="28"/>
          <w:szCs w:val="28"/>
        </w:rPr>
        <w:t>《</w:t>
      </w:r>
      <w:r w:rsidR="003F19BF" w:rsidRPr="003F19BF">
        <w:rPr>
          <w:rFonts w:ascii="仿宋_GB2312" w:eastAsia="仿宋_GB2312" w:hAnsi="Arial" w:cs="仿宋_GB2312" w:hint="eastAsia"/>
          <w:color w:val="333333"/>
          <w:sz w:val="28"/>
          <w:szCs w:val="28"/>
        </w:rPr>
        <w:t>本科课程评估评审指标体系</w:t>
      </w:r>
      <w:r w:rsidR="003F19BF">
        <w:rPr>
          <w:rFonts w:ascii="仿宋_GB2312" w:eastAsia="仿宋_GB2312" w:hAnsi="Arial" w:cs="仿宋_GB2312" w:hint="eastAsia"/>
          <w:color w:val="333333"/>
          <w:sz w:val="28"/>
          <w:szCs w:val="28"/>
        </w:rPr>
        <w:t>》（</w:t>
      </w:r>
      <w:r w:rsidR="001126DE">
        <w:rPr>
          <w:rFonts w:ascii="仿宋_GB2312" w:eastAsia="仿宋_GB2312" w:hAnsi="Arial" w:cs="仿宋_GB2312" w:hint="eastAsia"/>
          <w:color w:val="333333"/>
          <w:sz w:val="28"/>
          <w:szCs w:val="28"/>
        </w:rPr>
        <w:t>2019</w:t>
      </w:r>
      <w:r w:rsidR="003F19BF">
        <w:rPr>
          <w:rFonts w:ascii="仿宋_GB2312" w:eastAsia="仿宋_GB2312" w:hAnsi="Arial" w:cs="仿宋_GB2312" w:hint="eastAsia"/>
          <w:color w:val="333333"/>
          <w:sz w:val="28"/>
          <w:szCs w:val="28"/>
        </w:rPr>
        <w:t>版）（</w:t>
      </w:r>
      <w:r w:rsidR="003F19BF" w:rsidRPr="003F19BF">
        <w:rPr>
          <w:rFonts w:ascii="仿宋_GB2312" w:eastAsia="仿宋_GB2312" w:hAnsi="Arial" w:cs="仿宋_GB2312" w:hint="eastAsia"/>
          <w:color w:val="333333"/>
          <w:sz w:val="28"/>
          <w:szCs w:val="28"/>
        </w:rPr>
        <w:t>见附件</w:t>
      </w:r>
      <w:r w:rsidR="003F19BF">
        <w:rPr>
          <w:rFonts w:ascii="仿宋_GB2312" w:eastAsia="仿宋_GB2312" w:hAnsi="Arial" w:cs="仿宋_GB2312" w:hint="eastAsia"/>
          <w:color w:val="333333"/>
          <w:sz w:val="28"/>
          <w:szCs w:val="28"/>
        </w:rPr>
        <w:t>1）</w:t>
      </w:r>
      <w:r>
        <w:rPr>
          <w:rFonts w:ascii="仿宋_GB2312" w:eastAsia="仿宋_GB2312" w:hAnsi="Arial" w:cs="仿宋_GB2312"/>
          <w:color w:val="333333"/>
          <w:sz w:val="28"/>
          <w:szCs w:val="28"/>
        </w:rPr>
        <w:t>。</w:t>
      </w:r>
    </w:p>
    <w:p w:rsidR="008436ED" w:rsidRDefault="00EC0126" w:rsidP="00D519A7">
      <w:pPr>
        <w:pStyle w:val="a3"/>
        <w:widowControl/>
        <w:numPr>
          <w:ilvl w:val="0"/>
          <w:numId w:val="1"/>
        </w:numPr>
        <w:adjustRightInd w:val="0"/>
        <w:snapToGrid w:val="0"/>
        <w:spacing w:beforeAutospacing="0" w:afterAutospacing="0" w:line="520" w:lineRule="exact"/>
        <w:rPr>
          <w:rFonts w:ascii="Arial" w:hAnsi="Arial" w:cs="Arial"/>
          <w:color w:val="333333"/>
          <w:sz w:val="32"/>
          <w:szCs w:val="32"/>
        </w:rPr>
      </w:pPr>
      <w:r>
        <w:rPr>
          <w:rFonts w:ascii="黑体" w:eastAsia="黑体" w:hAnsi="宋体" w:cs="黑体" w:hint="eastAsia"/>
          <w:b/>
          <w:color w:val="333333"/>
          <w:sz w:val="32"/>
          <w:szCs w:val="32"/>
        </w:rPr>
        <w:t>评估</w:t>
      </w:r>
      <w:r w:rsidR="003F19BF">
        <w:rPr>
          <w:rFonts w:ascii="黑体" w:eastAsia="黑体" w:hAnsi="宋体" w:cs="黑体" w:hint="eastAsia"/>
          <w:b/>
          <w:color w:val="333333"/>
          <w:sz w:val="32"/>
          <w:szCs w:val="32"/>
        </w:rPr>
        <w:t>工作</w:t>
      </w:r>
      <w:r w:rsidR="00D612C1">
        <w:rPr>
          <w:rFonts w:ascii="黑体" w:eastAsia="黑体" w:hAnsi="宋体" w:cs="黑体" w:hint="eastAsia"/>
          <w:b/>
          <w:color w:val="333333"/>
          <w:sz w:val="32"/>
          <w:szCs w:val="32"/>
        </w:rPr>
        <w:t>程序</w:t>
      </w:r>
    </w:p>
    <w:p w:rsidR="00D612C1" w:rsidRDefault="00D519A7" w:rsidP="00D519A7">
      <w:pPr>
        <w:pStyle w:val="a3"/>
        <w:widowControl/>
        <w:adjustRightInd w:val="0"/>
        <w:snapToGrid w:val="0"/>
        <w:spacing w:beforeAutospacing="0" w:afterAutospacing="0" w:line="520" w:lineRule="exact"/>
        <w:ind w:left="560"/>
        <w:rPr>
          <w:rFonts w:ascii="仿宋_GB2312" w:eastAsia="仿宋_GB2312" w:hAnsi="Arial" w:cs="仿宋_GB2312"/>
          <w:color w:val="333333"/>
          <w:sz w:val="28"/>
          <w:szCs w:val="28"/>
        </w:rPr>
      </w:pPr>
      <w:r>
        <w:rPr>
          <w:rFonts w:ascii="仿宋_GB2312" w:eastAsia="仿宋_GB2312" w:hAnsi="Arial" w:cs="仿宋_GB2312" w:hint="eastAsia"/>
          <w:color w:val="333333"/>
          <w:sz w:val="28"/>
          <w:szCs w:val="28"/>
        </w:rPr>
        <w:t>（一）院（部）</w:t>
      </w:r>
      <w:r w:rsidR="00D612C1" w:rsidRPr="00D612C1">
        <w:rPr>
          <w:rFonts w:ascii="仿宋_GB2312" w:eastAsia="仿宋_GB2312" w:hAnsi="Arial" w:cs="仿宋_GB2312" w:hint="eastAsia"/>
          <w:color w:val="333333"/>
          <w:sz w:val="28"/>
          <w:szCs w:val="28"/>
        </w:rPr>
        <w:t>自评</w:t>
      </w:r>
    </w:p>
    <w:p w:rsidR="000A72EE" w:rsidRDefault="00D612C1" w:rsidP="00D612C1">
      <w:pPr>
        <w:pStyle w:val="a3"/>
        <w:widowControl/>
        <w:adjustRightInd w:val="0"/>
        <w:snapToGrid w:val="0"/>
        <w:spacing w:beforeAutospacing="0" w:afterAutospacing="0" w:line="520" w:lineRule="exact"/>
        <w:ind w:firstLineChars="200" w:firstLine="560"/>
        <w:rPr>
          <w:rFonts w:ascii="仿宋_GB2312" w:eastAsia="仿宋_GB2312" w:hAnsi="Arial" w:cs="仿宋_GB2312"/>
          <w:color w:val="333333"/>
          <w:sz w:val="28"/>
          <w:szCs w:val="28"/>
        </w:rPr>
      </w:pPr>
      <w:r w:rsidRPr="00D612C1">
        <w:rPr>
          <w:rFonts w:ascii="仿宋_GB2312" w:eastAsia="仿宋_GB2312" w:hAnsi="Arial" w:cs="仿宋_GB2312" w:hint="eastAsia"/>
          <w:color w:val="333333"/>
          <w:sz w:val="28"/>
          <w:szCs w:val="28"/>
        </w:rPr>
        <w:t>课程自评工作由学院</w:t>
      </w:r>
      <w:r w:rsidR="000A72EE">
        <w:rPr>
          <w:rFonts w:ascii="仿宋_GB2312" w:eastAsia="仿宋_GB2312" w:hAnsi="Arial" w:cs="仿宋_GB2312" w:hint="eastAsia"/>
          <w:color w:val="333333"/>
          <w:sz w:val="28"/>
          <w:szCs w:val="28"/>
        </w:rPr>
        <w:t>（部）</w:t>
      </w:r>
      <w:r w:rsidRPr="00D612C1">
        <w:rPr>
          <w:rFonts w:ascii="仿宋_GB2312" w:eastAsia="仿宋_GB2312" w:hAnsi="Arial" w:cs="仿宋_GB2312" w:hint="eastAsia"/>
          <w:color w:val="333333"/>
          <w:sz w:val="28"/>
          <w:szCs w:val="28"/>
        </w:rPr>
        <w:t>统一组织，课程负责人具体负责，参与本门课程教学的全体教师都应参加课程自评工作。各学院</w:t>
      </w:r>
      <w:r w:rsidR="00D519A7">
        <w:rPr>
          <w:rFonts w:ascii="仿宋_GB2312" w:eastAsia="仿宋_GB2312" w:hAnsi="Arial" w:cs="仿宋_GB2312" w:hint="eastAsia"/>
          <w:color w:val="333333"/>
          <w:sz w:val="28"/>
          <w:szCs w:val="28"/>
        </w:rPr>
        <w:t>（部）</w:t>
      </w:r>
      <w:r w:rsidRPr="00D612C1">
        <w:rPr>
          <w:rFonts w:ascii="仿宋_GB2312" w:eastAsia="仿宋_GB2312" w:hAnsi="Arial" w:cs="仿宋_GB2312" w:hint="eastAsia"/>
          <w:color w:val="333333"/>
          <w:sz w:val="28"/>
          <w:szCs w:val="28"/>
        </w:rPr>
        <w:t>根据“青岛理工大学本科课程评估指标体系”</w:t>
      </w:r>
      <w:r w:rsidR="000A72EE">
        <w:rPr>
          <w:rFonts w:ascii="仿宋_GB2312" w:eastAsia="仿宋_GB2312" w:hAnsi="Arial" w:cs="仿宋_GB2312" w:hint="eastAsia"/>
          <w:color w:val="333333"/>
          <w:sz w:val="28"/>
          <w:szCs w:val="28"/>
        </w:rPr>
        <w:t>（2020版）</w:t>
      </w:r>
      <w:r w:rsidRPr="00D612C1">
        <w:rPr>
          <w:rFonts w:ascii="仿宋_GB2312" w:eastAsia="仿宋_GB2312" w:hAnsi="Arial" w:cs="仿宋_GB2312" w:hint="eastAsia"/>
          <w:color w:val="333333"/>
          <w:sz w:val="28"/>
          <w:szCs w:val="28"/>
        </w:rPr>
        <w:t>，组织各门课程授课教师对课程建设情况进行认真分析与总结，按照自评</w:t>
      </w:r>
      <w:r w:rsidR="000A72EE">
        <w:rPr>
          <w:rFonts w:ascii="仿宋_GB2312" w:eastAsia="仿宋_GB2312" w:hAnsi="Arial" w:cs="仿宋_GB2312" w:hint="eastAsia"/>
          <w:color w:val="333333"/>
          <w:sz w:val="28"/>
          <w:szCs w:val="28"/>
        </w:rPr>
        <w:t>表</w:t>
      </w:r>
      <w:r w:rsidRPr="00D612C1">
        <w:rPr>
          <w:rFonts w:ascii="仿宋_GB2312" w:eastAsia="仿宋_GB2312" w:hAnsi="Arial" w:cs="仿宋_GB2312" w:hint="eastAsia"/>
          <w:color w:val="333333"/>
          <w:sz w:val="28"/>
          <w:szCs w:val="28"/>
        </w:rPr>
        <w:t>模板，撰写课程自评</w:t>
      </w:r>
      <w:r w:rsidR="000A72EE">
        <w:rPr>
          <w:rFonts w:ascii="仿宋_GB2312" w:eastAsia="仿宋_GB2312" w:hAnsi="Arial" w:cs="仿宋_GB2312" w:hint="eastAsia"/>
          <w:color w:val="333333"/>
          <w:sz w:val="28"/>
          <w:szCs w:val="28"/>
        </w:rPr>
        <w:t>表</w:t>
      </w:r>
      <w:r w:rsidRPr="00D612C1">
        <w:rPr>
          <w:rFonts w:ascii="仿宋_GB2312" w:eastAsia="仿宋_GB2312" w:hAnsi="Arial" w:cs="仿宋_GB2312" w:hint="eastAsia"/>
          <w:color w:val="333333"/>
          <w:sz w:val="28"/>
          <w:szCs w:val="28"/>
        </w:rPr>
        <w:t>，</w:t>
      </w:r>
      <w:r w:rsidR="00D519A7">
        <w:rPr>
          <w:rFonts w:ascii="仿宋_GB2312" w:eastAsia="仿宋_GB2312" w:hAnsi="Arial" w:cs="仿宋_GB2312" w:hint="eastAsia"/>
          <w:color w:val="333333"/>
          <w:sz w:val="28"/>
          <w:szCs w:val="28"/>
        </w:rPr>
        <w:t>填报基本数据表，</w:t>
      </w:r>
      <w:r w:rsidRPr="00D612C1">
        <w:rPr>
          <w:rFonts w:ascii="仿宋_GB2312" w:eastAsia="仿宋_GB2312" w:hAnsi="Arial" w:cs="仿宋_GB2312" w:hint="eastAsia"/>
          <w:color w:val="333333"/>
          <w:sz w:val="28"/>
          <w:szCs w:val="28"/>
        </w:rPr>
        <w:t>完成相关支撑材料</w:t>
      </w:r>
      <w:r w:rsidR="000A72EE">
        <w:rPr>
          <w:rFonts w:ascii="仿宋_GB2312" w:eastAsia="仿宋_GB2312" w:hAnsi="Arial" w:cs="仿宋_GB2312" w:hint="eastAsia"/>
          <w:color w:val="333333"/>
          <w:sz w:val="28"/>
          <w:szCs w:val="28"/>
        </w:rPr>
        <w:t>（电子版）整理工作，并按照支撑材料条目予以归类</w:t>
      </w:r>
      <w:r w:rsidRPr="00D612C1">
        <w:rPr>
          <w:rFonts w:ascii="仿宋_GB2312" w:eastAsia="仿宋_GB2312" w:hAnsi="Arial" w:cs="仿宋_GB2312" w:hint="eastAsia"/>
          <w:color w:val="333333"/>
          <w:sz w:val="28"/>
          <w:szCs w:val="28"/>
        </w:rPr>
        <w:t>。各学院组织</w:t>
      </w:r>
      <w:r w:rsidR="008821E7">
        <w:rPr>
          <w:rFonts w:ascii="仿宋_GB2312" w:eastAsia="仿宋_GB2312" w:hAnsi="Arial" w:cs="仿宋_GB2312" w:hint="eastAsia"/>
          <w:color w:val="333333"/>
          <w:sz w:val="28"/>
          <w:szCs w:val="28"/>
        </w:rPr>
        <w:t>院级</w:t>
      </w:r>
      <w:r w:rsidRPr="00D612C1">
        <w:rPr>
          <w:rFonts w:ascii="仿宋_GB2312" w:eastAsia="仿宋_GB2312" w:hAnsi="Arial" w:cs="仿宋_GB2312" w:hint="eastAsia"/>
          <w:color w:val="333333"/>
          <w:sz w:val="28"/>
          <w:szCs w:val="28"/>
        </w:rPr>
        <w:t>评审专家组通过查看课程自评报告和支撑材料、访谈评议、现场调查等形式，全面了解课程建设情况，评判课程建设效果，</w:t>
      </w:r>
      <w:r w:rsidR="002C3167">
        <w:rPr>
          <w:rFonts w:ascii="仿宋_GB2312" w:eastAsia="仿宋_GB2312" w:hAnsi="Arial" w:cs="仿宋_GB2312" w:hint="eastAsia"/>
          <w:color w:val="333333"/>
          <w:sz w:val="28"/>
          <w:szCs w:val="28"/>
        </w:rPr>
        <w:t>确定2020年</w:t>
      </w:r>
      <w:r w:rsidRPr="00D612C1">
        <w:rPr>
          <w:rFonts w:ascii="仿宋_GB2312" w:eastAsia="仿宋_GB2312" w:hAnsi="Arial" w:cs="仿宋_GB2312" w:hint="eastAsia"/>
          <w:color w:val="333333"/>
          <w:sz w:val="28"/>
          <w:szCs w:val="28"/>
        </w:rPr>
        <w:t>本单位</w:t>
      </w:r>
      <w:r w:rsidR="002C3167">
        <w:rPr>
          <w:rFonts w:ascii="仿宋_GB2312" w:eastAsia="仿宋_GB2312" w:hAnsi="Arial" w:cs="仿宋_GB2312" w:hint="eastAsia"/>
          <w:color w:val="333333"/>
          <w:sz w:val="28"/>
          <w:szCs w:val="28"/>
        </w:rPr>
        <w:t>推荐</w:t>
      </w:r>
      <w:r w:rsidRPr="00D612C1">
        <w:rPr>
          <w:rFonts w:ascii="仿宋_GB2312" w:eastAsia="仿宋_GB2312" w:hAnsi="Arial" w:cs="仿宋_GB2312" w:hint="eastAsia"/>
          <w:color w:val="333333"/>
          <w:sz w:val="28"/>
          <w:szCs w:val="28"/>
        </w:rPr>
        <w:t>参评课程</w:t>
      </w:r>
      <w:r w:rsidR="000A72EE" w:rsidRPr="000A72EE">
        <w:rPr>
          <w:rFonts w:ascii="仿宋_GB2312" w:eastAsia="仿宋_GB2312" w:hAnsi="Arial" w:cs="仿宋_GB2312" w:hint="eastAsia"/>
          <w:color w:val="333333"/>
          <w:sz w:val="28"/>
          <w:szCs w:val="28"/>
        </w:rPr>
        <w:t>名单</w:t>
      </w:r>
      <w:r w:rsidR="001126DE">
        <w:rPr>
          <w:rFonts w:ascii="仿宋_GB2312" w:eastAsia="仿宋_GB2312" w:hAnsi="Arial" w:cs="仿宋_GB2312" w:hint="eastAsia"/>
          <w:color w:val="333333"/>
          <w:sz w:val="28"/>
          <w:szCs w:val="28"/>
        </w:rPr>
        <w:t>，填报“</w:t>
      </w:r>
      <w:r w:rsidR="001126DE" w:rsidRPr="001126DE">
        <w:rPr>
          <w:rFonts w:ascii="仿宋_GB2312" w:eastAsia="仿宋_GB2312" w:hAnsi="Arial" w:cs="仿宋_GB2312" w:hint="eastAsia"/>
          <w:color w:val="333333"/>
          <w:sz w:val="28"/>
          <w:szCs w:val="28"/>
        </w:rPr>
        <w:t>2020年学院（部）推荐参评课程名单</w:t>
      </w:r>
      <w:r w:rsidR="001126DE">
        <w:rPr>
          <w:rFonts w:ascii="仿宋_GB2312" w:eastAsia="仿宋_GB2312" w:hAnsi="Arial" w:cs="仿宋_GB2312" w:hint="eastAsia"/>
          <w:color w:val="333333"/>
          <w:sz w:val="28"/>
          <w:szCs w:val="28"/>
        </w:rPr>
        <w:t>”</w:t>
      </w:r>
      <w:r w:rsidRPr="00D612C1">
        <w:rPr>
          <w:rFonts w:ascii="仿宋_GB2312" w:eastAsia="仿宋_GB2312" w:hAnsi="Arial" w:cs="仿宋_GB2312" w:hint="eastAsia"/>
          <w:color w:val="333333"/>
          <w:sz w:val="28"/>
          <w:szCs w:val="28"/>
        </w:rPr>
        <w:t>。</w:t>
      </w:r>
      <w:hyperlink r:id="rId8" w:history="1">
        <w:r w:rsidR="002C3167" w:rsidRPr="008E5435">
          <w:rPr>
            <w:rStyle w:val="a4"/>
            <w:rFonts w:ascii="仿宋_GB2312" w:eastAsia="仿宋_GB2312" w:hAnsi="Arial" w:cs="仿宋_GB2312" w:hint="eastAsia"/>
            <w:sz w:val="28"/>
            <w:szCs w:val="28"/>
          </w:rPr>
          <w:t>所有材料（推荐参评课程名单、课程自评表及支撑材料）电子版于规定时间发送至邮箱13625327996@163.com</w:t>
        </w:r>
      </w:hyperlink>
      <w:r w:rsidR="000A72EE">
        <w:rPr>
          <w:rFonts w:ascii="仿宋_GB2312" w:eastAsia="仿宋_GB2312" w:hAnsi="Arial" w:cs="仿宋_GB2312" w:hint="eastAsia"/>
          <w:color w:val="333333"/>
          <w:sz w:val="28"/>
          <w:szCs w:val="28"/>
        </w:rPr>
        <w:t>。</w:t>
      </w:r>
    </w:p>
    <w:p w:rsidR="00D612C1" w:rsidRDefault="00D612C1" w:rsidP="00D612C1">
      <w:pPr>
        <w:pStyle w:val="a3"/>
        <w:widowControl/>
        <w:adjustRightInd w:val="0"/>
        <w:snapToGrid w:val="0"/>
        <w:spacing w:beforeAutospacing="0" w:afterAutospacing="0" w:line="520" w:lineRule="exact"/>
        <w:ind w:firstLineChars="200" w:firstLine="560"/>
        <w:rPr>
          <w:rFonts w:ascii="仿宋_GB2312" w:eastAsia="仿宋_GB2312" w:hAnsi="Arial" w:cs="仿宋_GB2312"/>
          <w:color w:val="333333"/>
          <w:sz w:val="28"/>
          <w:szCs w:val="28"/>
        </w:rPr>
      </w:pPr>
      <w:r>
        <w:rPr>
          <w:rFonts w:ascii="仿宋_GB2312" w:eastAsia="仿宋_GB2312" w:hAnsi="Arial" w:cs="仿宋_GB2312" w:hint="eastAsia"/>
          <w:color w:val="333333"/>
          <w:sz w:val="28"/>
          <w:szCs w:val="28"/>
        </w:rPr>
        <w:t>（二）</w:t>
      </w:r>
      <w:r w:rsidRPr="00D612C1">
        <w:rPr>
          <w:rFonts w:ascii="仿宋_GB2312" w:eastAsia="仿宋_GB2312" w:hAnsi="Arial" w:cs="仿宋_GB2312" w:hint="eastAsia"/>
          <w:color w:val="333333"/>
          <w:sz w:val="28"/>
          <w:szCs w:val="28"/>
        </w:rPr>
        <w:t>学校</w:t>
      </w:r>
      <w:r>
        <w:rPr>
          <w:rFonts w:ascii="仿宋_GB2312" w:eastAsia="仿宋_GB2312" w:hAnsi="Arial" w:cs="仿宋_GB2312" w:hint="eastAsia"/>
          <w:color w:val="333333"/>
          <w:sz w:val="28"/>
          <w:szCs w:val="28"/>
        </w:rPr>
        <w:t>材料初审</w:t>
      </w:r>
    </w:p>
    <w:p w:rsidR="00D612C1" w:rsidRDefault="00D612C1" w:rsidP="00D612C1">
      <w:pPr>
        <w:pStyle w:val="a3"/>
        <w:widowControl/>
        <w:adjustRightInd w:val="0"/>
        <w:snapToGrid w:val="0"/>
        <w:spacing w:beforeAutospacing="0" w:afterAutospacing="0" w:line="520" w:lineRule="exact"/>
        <w:ind w:firstLineChars="200" w:firstLine="560"/>
        <w:rPr>
          <w:rFonts w:ascii="仿宋_GB2312" w:eastAsia="仿宋_GB2312" w:hAnsi="Arial" w:cs="仿宋_GB2312"/>
          <w:color w:val="333333"/>
          <w:sz w:val="28"/>
          <w:szCs w:val="28"/>
        </w:rPr>
      </w:pPr>
      <w:r w:rsidRPr="00D612C1">
        <w:rPr>
          <w:rFonts w:ascii="仿宋_GB2312" w:eastAsia="仿宋_GB2312" w:hAnsi="Arial" w:cs="仿宋_GB2312" w:hint="eastAsia"/>
          <w:color w:val="333333"/>
          <w:sz w:val="28"/>
          <w:szCs w:val="28"/>
        </w:rPr>
        <w:lastRenderedPageBreak/>
        <w:t>教务处对学院提交的材料进行</w:t>
      </w:r>
      <w:r w:rsidR="000A72EE">
        <w:rPr>
          <w:rFonts w:ascii="仿宋_GB2312" w:eastAsia="仿宋_GB2312" w:hAnsi="Arial" w:cs="仿宋_GB2312" w:hint="eastAsia"/>
          <w:color w:val="333333"/>
          <w:sz w:val="28"/>
          <w:szCs w:val="28"/>
        </w:rPr>
        <w:t>初审</w:t>
      </w:r>
      <w:r w:rsidRPr="00D612C1">
        <w:rPr>
          <w:rFonts w:ascii="仿宋_GB2312" w:eastAsia="仿宋_GB2312" w:hAnsi="Arial" w:cs="仿宋_GB2312" w:hint="eastAsia"/>
          <w:color w:val="333333"/>
          <w:sz w:val="28"/>
          <w:szCs w:val="28"/>
        </w:rPr>
        <w:t>，</w:t>
      </w:r>
      <w:r w:rsidR="000A72EE">
        <w:rPr>
          <w:rFonts w:ascii="仿宋_GB2312" w:eastAsia="仿宋_GB2312" w:hAnsi="Arial" w:cs="仿宋_GB2312" w:hint="eastAsia"/>
          <w:color w:val="333333"/>
          <w:sz w:val="28"/>
          <w:szCs w:val="28"/>
        </w:rPr>
        <w:t>并在规定时间</w:t>
      </w:r>
      <w:r w:rsidR="003C632E">
        <w:rPr>
          <w:rFonts w:ascii="仿宋_GB2312" w:eastAsia="仿宋_GB2312" w:hAnsi="Arial" w:cs="仿宋_GB2312" w:hint="eastAsia"/>
          <w:color w:val="333333"/>
          <w:sz w:val="28"/>
          <w:szCs w:val="28"/>
        </w:rPr>
        <w:t>将</w:t>
      </w:r>
      <w:r w:rsidR="003C632E" w:rsidRPr="000A72EE">
        <w:rPr>
          <w:rFonts w:ascii="仿宋_GB2312" w:eastAsia="仿宋_GB2312" w:hAnsi="Arial" w:cs="仿宋_GB2312" w:hint="eastAsia"/>
          <w:color w:val="333333"/>
          <w:sz w:val="28"/>
          <w:szCs w:val="28"/>
        </w:rPr>
        <w:t>初审反馈表</w:t>
      </w:r>
      <w:r w:rsidR="000A72EE">
        <w:rPr>
          <w:rFonts w:ascii="仿宋_GB2312" w:eastAsia="仿宋_GB2312" w:hAnsi="Arial" w:cs="仿宋_GB2312" w:hint="eastAsia"/>
          <w:color w:val="333333"/>
          <w:sz w:val="28"/>
          <w:szCs w:val="28"/>
        </w:rPr>
        <w:t>返</w:t>
      </w:r>
      <w:r w:rsidR="003C632E">
        <w:rPr>
          <w:rFonts w:ascii="仿宋_GB2312" w:eastAsia="仿宋_GB2312" w:hAnsi="Arial" w:cs="仿宋_GB2312" w:hint="eastAsia"/>
          <w:color w:val="333333"/>
          <w:sz w:val="28"/>
          <w:szCs w:val="28"/>
        </w:rPr>
        <w:t>回</w:t>
      </w:r>
      <w:r w:rsidR="000A72EE">
        <w:rPr>
          <w:rFonts w:ascii="仿宋_GB2312" w:eastAsia="仿宋_GB2312" w:hAnsi="Arial" w:cs="仿宋_GB2312" w:hint="eastAsia"/>
          <w:color w:val="333333"/>
          <w:sz w:val="28"/>
          <w:szCs w:val="28"/>
        </w:rPr>
        <w:t>学院（部）。由学院（部）依据反馈意见，在规定时间内完成材料的补充与修改。</w:t>
      </w:r>
      <w:r w:rsidR="004A123A">
        <w:rPr>
          <w:rFonts w:ascii="仿宋_GB2312" w:eastAsia="仿宋_GB2312" w:hAnsi="Arial" w:cs="仿宋_GB2312" w:hint="eastAsia"/>
          <w:color w:val="333333"/>
          <w:sz w:val="28"/>
          <w:szCs w:val="28"/>
        </w:rPr>
        <w:t>通过学校初审的课程，</w:t>
      </w:r>
      <w:r w:rsidR="004A123A" w:rsidRPr="004A123A">
        <w:rPr>
          <w:rFonts w:ascii="仿宋_GB2312" w:eastAsia="仿宋_GB2312" w:hAnsi="Arial" w:cs="仿宋_GB2312" w:hint="eastAsia"/>
          <w:color w:val="333333"/>
          <w:sz w:val="28"/>
          <w:szCs w:val="28"/>
        </w:rPr>
        <w:t>打印</w:t>
      </w:r>
      <w:r w:rsidR="004A123A">
        <w:rPr>
          <w:rFonts w:ascii="仿宋_GB2312" w:eastAsia="仿宋_GB2312" w:hAnsi="Arial" w:cs="仿宋_GB2312" w:hint="eastAsia"/>
          <w:color w:val="333333"/>
          <w:sz w:val="28"/>
          <w:szCs w:val="28"/>
        </w:rPr>
        <w:t>自评表</w:t>
      </w:r>
      <w:r w:rsidR="004A123A" w:rsidRPr="004A123A">
        <w:rPr>
          <w:rFonts w:ascii="仿宋_GB2312" w:eastAsia="仿宋_GB2312" w:hAnsi="Arial" w:cs="仿宋_GB2312" w:hint="eastAsia"/>
          <w:color w:val="333333"/>
          <w:sz w:val="28"/>
          <w:szCs w:val="28"/>
        </w:rPr>
        <w:t>书面稿一式两份（在封面上加盖单位公章）报送至教务处</w:t>
      </w:r>
      <w:r w:rsidR="004A123A">
        <w:rPr>
          <w:rFonts w:ascii="仿宋_GB2312" w:eastAsia="仿宋_GB2312" w:hAnsi="Arial" w:cs="仿宋_GB2312" w:hint="eastAsia"/>
          <w:color w:val="333333"/>
          <w:sz w:val="28"/>
          <w:szCs w:val="28"/>
        </w:rPr>
        <w:t>归档</w:t>
      </w:r>
      <w:r w:rsidR="004A123A" w:rsidRPr="004A123A">
        <w:rPr>
          <w:rFonts w:ascii="仿宋_GB2312" w:eastAsia="仿宋_GB2312" w:hAnsi="Arial" w:cs="仿宋_GB2312" w:hint="eastAsia"/>
          <w:color w:val="333333"/>
          <w:sz w:val="28"/>
          <w:szCs w:val="28"/>
        </w:rPr>
        <w:t>。</w:t>
      </w:r>
    </w:p>
    <w:p w:rsidR="00D612C1" w:rsidRDefault="00D612C1" w:rsidP="00D612C1">
      <w:pPr>
        <w:pStyle w:val="a3"/>
        <w:widowControl/>
        <w:adjustRightInd w:val="0"/>
        <w:snapToGrid w:val="0"/>
        <w:spacing w:beforeAutospacing="0" w:afterAutospacing="0" w:line="520" w:lineRule="exact"/>
        <w:ind w:firstLineChars="200" w:firstLine="560"/>
        <w:rPr>
          <w:rFonts w:ascii="仿宋_GB2312" w:eastAsia="仿宋_GB2312" w:hAnsi="Arial" w:cs="仿宋_GB2312"/>
          <w:color w:val="333333"/>
          <w:sz w:val="28"/>
          <w:szCs w:val="28"/>
        </w:rPr>
      </w:pPr>
      <w:r w:rsidRPr="00D612C1">
        <w:rPr>
          <w:rFonts w:ascii="仿宋_GB2312" w:eastAsia="仿宋_GB2312" w:hAnsi="Arial" w:cs="仿宋_GB2312" w:hint="eastAsia"/>
          <w:color w:val="333333"/>
          <w:sz w:val="28"/>
          <w:szCs w:val="28"/>
        </w:rPr>
        <w:t>（</w:t>
      </w:r>
      <w:r>
        <w:rPr>
          <w:rFonts w:ascii="仿宋_GB2312" w:eastAsia="仿宋_GB2312" w:hAnsi="Arial" w:cs="仿宋_GB2312" w:hint="eastAsia"/>
          <w:color w:val="333333"/>
          <w:sz w:val="28"/>
          <w:szCs w:val="28"/>
        </w:rPr>
        <w:t>三</w:t>
      </w:r>
      <w:r w:rsidRPr="00D612C1">
        <w:rPr>
          <w:rFonts w:ascii="仿宋_GB2312" w:eastAsia="仿宋_GB2312" w:hAnsi="Arial" w:cs="仿宋_GB2312" w:hint="eastAsia"/>
          <w:color w:val="333333"/>
          <w:sz w:val="28"/>
          <w:szCs w:val="28"/>
        </w:rPr>
        <w:t>）专家评估</w:t>
      </w:r>
    </w:p>
    <w:p w:rsidR="00D612C1" w:rsidRDefault="00D612C1" w:rsidP="00D612C1">
      <w:pPr>
        <w:pStyle w:val="a3"/>
        <w:widowControl/>
        <w:adjustRightInd w:val="0"/>
        <w:snapToGrid w:val="0"/>
        <w:spacing w:beforeAutospacing="0" w:afterAutospacing="0" w:line="520" w:lineRule="exact"/>
        <w:ind w:firstLineChars="200" w:firstLine="560"/>
        <w:rPr>
          <w:rFonts w:ascii="仿宋_GB2312" w:eastAsia="仿宋_GB2312" w:hAnsi="Arial" w:cs="仿宋_GB2312"/>
          <w:color w:val="333333"/>
          <w:sz w:val="28"/>
          <w:szCs w:val="28"/>
        </w:rPr>
      </w:pPr>
      <w:r w:rsidRPr="00D612C1">
        <w:rPr>
          <w:rFonts w:ascii="仿宋_GB2312" w:eastAsia="仿宋_GB2312" w:hAnsi="Arial" w:cs="仿宋_GB2312" w:hint="eastAsia"/>
          <w:color w:val="333333"/>
          <w:sz w:val="28"/>
          <w:szCs w:val="28"/>
        </w:rPr>
        <w:t>审核通过</w:t>
      </w:r>
      <w:r w:rsidR="000A72EE">
        <w:rPr>
          <w:rFonts w:ascii="仿宋_GB2312" w:eastAsia="仿宋_GB2312" w:hAnsi="Arial" w:cs="仿宋_GB2312" w:hint="eastAsia"/>
          <w:color w:val="333333"/>
          <w:sz w:val="28"/>
          <w:szCs w:val="28"/>
        </w:rPr>
        <w:t>的课程</w:t>
      </w:r>
      <w:r w:rsidRPr="00D612C1">
        <w:rPr>
          <w:rFonts w:ascii="仿宋_GB2312" w:eastAsia="仿宋_GB2312" w:hAnsi="Arial" w:cs="仿宋_GB2312" w:hint="eastAsia"/>
          <w:color w:val="333333"/>
          <w:sz w:val="28"/>
          <w:szCs w:val="28"/>
        </w:rPr>
        <w:t>，由教务处将课程材料统一提交评审专家进行评审。学校评审专家在教务处的统一组织、协调下，通过查看课程自评报告和相关支撑材料等方式开展评估工作。教务处负责协助专家组开展评审工作</w:t>
      </w:r>
      <w:r w:rsidR="000A72EE">
        <w:rPr>
          <w:rFonts w:ascii="仿宋_GB2312" w:eastAsia="仿宋_GB2312" w:hAnsi="Arial" w:cs="仿宋_GB2312" w:hint="eastAsia"/>
          <w:color w:val="333333"/>
          <w:sz w:val="28"/>
          <w:szCs w:val="28"/>
        </w:rPr>
        <w:t>。由专家</w:t>
      </w:r>
      <w:r w:rsidRPr="00D612C1">
        <w:rPr>
          <w:rFonts w:ascii="仿宋_GB2312" w:eastAsia="仿宋_GB2312" w:hAnsi="Arial" w:cs="仿宋_GB2312" w:hint="eastAsia"/>
          <w:color w:val="333333"/>
          <w:sz w:val="28"/>
          <w:szCs w:val="28"/>
        </w:rPr>
        <w:t>形成课程评估结果</w:t>
      </w:r>
      <w:r w:rsidR="000A72EE">
        <w:rPr>
          <w:rFonts w:ascii="仿宋_GB2312" w:eastAsia="仿宋_GB2312" w:hAnsi="Arial" w:cs="仿宋_GB2312" w:hint="eastAsia"/>
          <w:color w:val="333333"/>
          <w:sz w:val="28"/>
          <w:szCs w:val="28"/>
        </w:rPr>
        <w:t>及整改建议</w:t>
      </w:r>
      <w:r w:rsidRPr="00D612C1">
        <w:rPr>
          <w:rFonts w:ascii="仿宋_GB2312" w:eastAsia="仿宋_GB2312" w:hAnsi="Arial" w:cs="仿宋_GB2312" w:hint="eastAsia"/>
          <w:color w:val="333333"/>
          <w:sz w:val="28"/>
          <w:szCs w:val="28"/>
        </w:rPr>
        <w:t>。</w:t>
      </w:r>
    </w:p>
    <w:p w:rsidR="00196EE9" w:rsidRDefault="00D612C1" w:rsidP="00D612C1">
      <w:pPr>
        <w:pStyle w:val="a3"/>
        <w:widowControl/>
        <w:adjustRightInd w:val="0"/>
        <w:snapToGrid w:val="0"/>
        <w:spacing w:beforeAutospacing="0" w:afterAutospacing="0" w:line="520" w:lineRule="exact"/>
        <w:ind w:firstLineChars="200" w:firstLine="560"/>
        <w:rPr>
          <w:rFonts w:ascii="仿宋_GB2312" w:eastAsia="仿宋_GB2312" w:hAnsi="Arial" w:cs="仿宋_GB2312"/>
          <w:color w:val="333333"/>
          <w:sz w:val="28"/>
          <w:szCs w:val="28"/>
        </w:rPr>
      </w:pPr>
      <w:r w:rsidRPr="00D612C1">
        <w:rPr>
          <w:rFonts w:ascii="仿宋_GB2312" w:eastAsia="仿宋_GB2312" w:hAnsi="Arial" w:cs="仿宋_GB2312" w:hint="eastAsia"/>
          <w:color w:val="333333"/>
          <w:sz w:val="28"/>
          <w:szCs w:val="28"/>
        </w:rPr>
        <w:t>（</w:t>
      </w:r>
      <w:r>
        <w:rPr>
          <w:rFonts w:ascii="仿宋_GB2312" w:eastAsia="仿宋_GB2312" w:hAnsi="Arial" w:cs="仿宋_GB2312" w:hint="eastAsia"/>
          <w:color w:val="333333"/>
          <w:sz w:val="28"/>
          <w:szCs w:val="28"/>
        </w:rPr>
        <w:t>四</w:t>
      </w:r>
      <w:r w:rsidRPr="00D612C1">
        <w:rPr>
          <w:rFonts w:ascii="仿宋_GB2312" w:eastAsia="仿宋_GB2312" w:hAnsi="Arial" w:cs="仿宋_GB2312" w:hint="eastAsia"/>
          <w:color w:val="333333"/>
          <w:sz w:val="28"/>
          <w:szCs w:val="28"/>
        </w:rPr>
        <w:t>）</w:t>
      </w:r>
      <w:r w:rsidR="00196EE9" w:rsidRPr="00D612C1">
        <w:rPr>
          <w:rFonts w:ascii="仿宋_GB2312" w:eastAsia="仿宋_GB2312" w:hAnsi="Arial" w:cs="仿宋_GB2312" w:hint="eastAsia"/>
          <w:color w:val="333333"/>
          <w:sz w:val="28"/>
          <w:szCs w:val="28"/>
        </w:rPr>
        <w:t>结果反馈与整改</w:t>
      </w:r>
    </w:p>
    <w:p w:rsidR="00773F31" w:rsidRPr="0054354C" w:rsidRDefault="00773F31" w:rsidP="00773F31">
      <w:pPr>
        <w:pStyle w:val="a3"/>
        <w:widowControl/>
        <w:adjustRightInd w:val="0"/>
        <w:snapToGrid w:val="0"/>
        <w:spacing w:beforeAutospacing="0" w:afterAutospacing="0" w:line="520" w:lineRule="exact"/>
        <w:ind w:firstLineChars="200" w:firstLine="560"/>
        <w:rPr>
          <w:rFonts w:ascii="仿宋_GB2312" w:eastAsia="仿宋_GB2312" w:hAnsi="Arial" w:cs="仿宋_GB2312"/>
          <w:sz w:val="28"/>
          <w:szCs w:val="28"/>
        </w:rPr>
      </w:pPr>
      <w:r w:rsidRPr="0054354C">
        <w:rPr>
          <w:rFonts w:ascii="仿宋_GB2312" w:eastAsia="仿宋_GB2312" w:hAnsi="Arial" w:cs="仿宋_GB2312" w:hint="eastAsia"/>
          <w:sz w:val="28"/>
          <w:szCs w:val="28"/>
        </w:rPr>
        <w:t>教务处将专家评估结论及整改建议及时反馈开课院（部）。各学院组织评估结果为D的课程，进行整改，整改期为一年。课程负责人根据专家提出的整改建议，拟定整改方案，并报教务处备案。教务处组织专家对整改情况进行验收。</w:t>
      </w:r>
    </w:p>
    <w:p w:rsidR="00196EE9" w:rsidRPr="0054354C" w:rsidRDefault="003C632E" w:rsidP="00D612C1">
      <w:pPr>
        <w:pStyle w:val="a3"/>
        <w:widowControl/>
        <w:adjustRightInd w:val="0"/>
        <w:snapToGrid w:val="0"/>
        <w:spacing w:beforeAutospacing="0" w:afterAutospacing="0" w:line="520" w:lineRule="exact"/>
        <w:ind w:firstLineChars="200" w:firstLine="560"/>
        <w:rPr>
          <w:rFonts w:ascii="仿宋_GB2312" w:eastAsia="仿宋_GB2312" w:hAnsi="Arial" w:cs="仿宋_GB2312"/>
          <w:sz w:val="28"/>
          <w:szCs w:val="28"/>
        </w:rPr>
      </w:pPr>
      <w:r w:rsidRPr="0054354C">
        <w:rPr>
          <w:rFonts w:ascii="仿宋_GB2312" w:eastAsia="仿宋_GB2312" w:hAnsi="Arial" w:cs="仿宋_GB2312" w:hint="eastAsia"/>
          <w:sz w:val="28"/>
          <w:szCs w:val="28"/>
        </w:rPr>
        <w:t>教务处</w:t>
      </w:r>
      <w:r w:rsidR="00196EE9" w:rsidRPr="0054354C">
        <w:rPr>
          <w:rFonts w:ascii="仿宋_GB2312" w:eastAsia="仿宋_GB2312" w:hAnsi="Arial" w:cs="仿宋_GB2312" w:hint="eastAsia"/>
          <w:sz w:val="28"/>
          <w:szCs w:val="28"/>
        </w:rPr>
        <w:t>根据评估工作开展情况及评估结论，进行认真总结分析</w:t>
      </w:r>
      <w:r w:rsidR="00773F31" w:rsidRPr="0054354C">
        <w:rPr>
          <w:rFonts w:ascii="仿宋_GB2312" w:eastAsia="仿宋_GB2312" w:hAnsi="Arial" w:cs="仿宋_GB2312" w:hint="eastAsia"/>
          <w:sz w:val="28"/>
          <w:szCs w:val="28"/>
        </w:rPr>
        <w:t>。</w:t>
      </w:r>
    </w:p>
    <w:p w:rsidR="00D612C1" w:rsidRDefault="00D612C1" w:rsidP="00D612C1">
      <w:pPr>
        <w:pStyle w:val="a3"/>
        <w:widowControl/>
        <w:adjustRightInd w:val="0"/>
        <w:snapToGrid w:val="0"/>
        <w:spacing w:beforeAutospacing="0" w:afterAutospacing="0" w:line="520" w:lineRule="exact"/>
        <w:ind w:firstLineChars="200" w:firstLine="643"/>
        <w:rPr>
          <w:rFonts w:ascii="黑体" w:eastAsia="黑体" w:hAnsi="宋体" w:cs="黑体"/>
          <w:b/>
          <w:color w:val="333333"/>
          <w:sz w:val="32"/>
          <w:szCs w:val="32"/>
        </w:rPr>
      </w:pPr>
      <w:r>
        <w:rPr>
          <w:rFonts w:ascii="黑体" w:eastAsia="黑体" w:hAnsi="宋体" w:cs="黑体" w:hint="eastAsia"/>
          <w:b/>
          <w:color w:val="333333"/>
          <w:sz w:val="32"/>
          <w:szCs w:val="32"/>
        </w:rPr>
        <w:t>四、评估工作时间安排</w:t>
      </w:r>
    </w:p>
    <w:p w:rsidR="00CB148B" w:rsidRPr="00CB148B" w:rsidRDefault="00CB148B" w:rsidP="00CB148B">
      <w:pPr>
        <w:pStyle w:val="a3"/>
        <w:widowControl/>
        <w:adjustRightInd w:val="0"/>
        <w:snapToGrid w:val="0"/>
        <w:spacing w:beforeAutospacing="0" w:afterAutospacing="0" w:line="520" w:lineRule="exact"/>
        <w:ind w:firstLineChars="200" w:firstLine="560"/>
        <w:rPr>
          <w:rFonts w:ascii="仿宋_GB2312" w:eastAsia="仿宋_GB2312" w:hAnsi="Arial" w:cs="仿宋_GB2312"/>
          <w:color w:val="333333"/>
          <w:sz w:val="28"/>
          <w:szCs w:val="28"/>
        </w:rPr>
      </w:pPr>
      <w:r>
        <w:rPr>
          <w:rFonts w:ascii="仿宋_GB2312" w:eastAsia="仿宋_GB2312" w:hAnsi="Arial" w:cs="仿宋_GB2312" w:hint="eastAsia"/>
          <w:color w:val="333333"/>
          <w:sz w:val="28"/>
          <w:szCs w:val="28"/>
        </w:rPr>
        <w:t>评估各阶段时间安排参照下表，具体时间有可能根据实际完成情况予以调整。</w:t>
      </w:r>
    </w:p>
    <w:tbl>
      <w:tblPr>
        <w:tblStyle w:val="a7"/>
        <w:tblW w:w="0" w:type="auto"/>
        <w:tblLook w:val="04A0"/>
      </w:tblPr>
      <w:tblGrid>
        <w:gridCol w:w="2130"/>
        <w:gridCol w:w="2130"/>
        <w:gridCol w:w="2794"/>
        <w:gridCol w:w="1468"/>
      </w:tblGrid>
      <w:tr w:rsidR="00CB148B" w:rsidTr="003B14C0">
        <w:tc>
          <w:tcPr>
            <w:tcW w:w="2130" w:type="dxa"/>
          </w:tcPr>
          <w:p w:rsidR="00CB148B" w:rsidRPr="00CB148B" w:rsidRDefault="00CB148B" w:rsidP="00CB148B">
            <w:pPr>
              <w:pStyle w:val="a3"/>
              <w:widowControl/>
              <w:adjustRightInd w:val="0"/>
              <w:snapToGrid w:val="0"/>
              <w:spacing w:beforeAutospacing="0" w:afterAutospacing="0" w:line="520" w:lineRule="exact"/>
              <w:jc w:val="center"/>
              <w:rPr>
                <w:rFonts w:ascii="仿宋" w:eastAsia="仿宋" w:hAnsi="仿宋" w:cs="黑体"/>
                <w:b/>
                <w:color w:val="333333"/>
                <w:sz w:val="28"/>
                <w:szCs w:val="28"/>
              </w:rPr>
            </w:pPr>
            <w:r w:rsidRPr="00CB148B">
              <w:rPr>
                <w:rFonts w:ascii="仿宋" w:eastAsia="仿宋" w:hAnsi="仿宋" w:cs="黑体" w:hint="eastAsia"/>
                <w:b/>
                <w:color w:val="333333"/>
                <w:sz w:val="28"/>
                <w:szCs w:val="28"/>
              </w:rPr>
              <w:t>阶段</w:t>
            </w:r>
          </w:p>
        </w:tc>
        <w:tc>
          <w:tcPr>
            <w:tcW w:w="2130" w:type="dxa"/>
          </w:tcPr>
          <w:p w:rsidR="00CB148B" w:rsidRPr="00CB148B" w:rsidRDefault="00CB148B" w:rsidP="00CB148B">
            <w:pPr>
              <w:pStyle w:val="a3"/>
              <w:widowControl/>
              <w:adjustRightInd w:val="0"/>
              <w:snapToGrid w:val="0"/>
              <w:spacing w:beforeAutospacing="0" w:afterAutospacing="0" w:line="520" w:lineRule="exact"/>
              <w:jc w:val="center"/>
              <w:rPr>
                <w:rFonts w:ascii="仿宋" w:eastAsia="仿宋" w:hAnsi="仿宋" w:cs="黑体"/>
                <w:b/>
                <w:color w:val="333333"/>
                <w:sz w:val="28"/>
                <w:szCs w:val="28"/>
              </w:rPr>
            </w:pPr>
            <w:r w:rsidRPr="00CB148B">
              <w:rPr>
                <w:rFonts w:ascii="仿宋" w:eastAsia="仿宋" w:hAnsi="仿宋" w:cs="黑体" w:hint="eastAsia"/>
                <w:b/>
                <w:color w:val="333333"/>
                <w:sz w:val="28"/>
                <w:szCs w:val="28"/>
              </w:rPr>
              <w:t>完成时间</w:t>
            </w:r>
          </w:p>
        </w:tc>
        <w:tc>
          <w:tcPr>
            <w:tcW w:w="2794" w:type="dxa"/>
          </w:tcPr>
          <w:p w:rsidR="00CB148B" w:rsidRPr="00CB148B" w:rsidRDefault="003B14C0" w:rsidP="00CB148B">
            <w:pPr>
              <w:pStyle w:val="a3"/>
              <w:widowControl/>
              <w:adjustRightInd w:val="0"/>
              <w:snapToGrid w:val="0"/>
              <w:spacing w:beforeAutospacing="0" w:afterAutospacing="0" w:line="520" w:lineRule="exact"/>
              <w:jc w:val="center"/>
              <w:rPr>
                <w:rFonts w:ascii="仿宋" w:eastAsia="仿宋" w:hAnsi="仿宋" w:cs="黑体"/>
                <w:b/>
                <w:color w:val="333333"/>
                <w:sz w:val="28"/>
                <w:szCs w:val="28"/>
              </w:rPr>
            </w:pPr>
            <w:r>
              <w:rPr>
                <w:rFonts w:ascii="仿宋" w:eastAsia="仿宋" w:hAnsi="仿宋" w:cs="黑体" w:hint="eastAsia"/>
                <w:b/>
                <w:color w:val="333333"/>
                <w:sz w:val="28"/>
                <w:szCs w:val="28"/>
              </w:rPr>
              <w:t>材料形式</w:t>
            </w:r>
          </w:p>
        </w:tc>
        <w:tc>
          <w:tcPr>
            <w:tcW w:w="1468" w:type="dxa"/>
          </w:tcPr>
          <w:p w:rsidR="00CB148B" w:rsidRPr="00CB148B" w:rsidRDefault="00CB148B" w:rsidP="00CB148B">
            <w:pPr>
              <w:pStyle w:val="a3"/>
              <w:widowControl/>
              <w:adjustRightInd w:val="0"/>
              <w:snapToGrid w:val="0"/>
              <w:spacing w:beforeAutospacing="0" w:afterAutospacing="0" w:line="520" w:lineRule="exact"/>
              <w:jc w:val="center"/>
              <w:rPr>
                <w:rFonts w:ascii="仿宋" w:eastAsia="仿宋" w:hAnsi="仿宋" w:cs="黑体"/>
                <w:b/>
                <w:color w:val="333333"/>
                <w:sz w:val="28"/>
                <w:szCs w:val="28"/>
              </w:rPr>
            </w:pPr>
            <w:r>
              <w:rPr>
                <w:rFonts w:ascii="仿宋" w:eastAsia="仿宋" w:hAnsi="仿宋" w:cs="黑体" w:hint="eastAsia"/>
                <w:b/>
                <w:color w:val="333333"/>
                <w:sz w:val="28"/>
                <w:szCs w:val="28"/>
              </w:rPr>
              <w:t>备注</w:t>
            </w:r>
          </w:p>
        </w:tc>
      </w:tr>
      <w:tr w:rsidR="00CB148B" w:rsidTr="000A72EE">
        <w:tc>
          <w:tcPr>
            <w:tcW w:w="2130" w:type="dxa"/>
            <w:vAlign w:val="center"/>
          </w:tcPr>
          <w:p w:rsidR="00CB148B" w:rsidRPr="00CB148B" w:rsidRDefault="00CB148B" w:rsidP="000A72EE">
            <w:pPr>
              <w:pStyle w:val="a3"/>
              <w:widowControl/>
              <w:adjustRightInd w:val="0"/>
              <w:snapToGrid w:val="0"/>
              <w:spacing w:beforeAutospacing="0" w:afterAutospacing="0" w:line="520" w:lineRule="exact"/>
              <w:jc w:val="center"/>
              <w:rPr>
                <w:rFonts w:ascii="仿宋" w:eastAsia="仿宋" w:hAnsi="仿宋" w:cs="黑体"/>
                <w:color w:val="333333"/>
                <w:sz w:val="28"/>
                <w:szCs w:val="28"/>
              </w:rPr>
            </w:pPr>
            <w:r w:rsidRPr="00CB148B">
              <w:rPr>
                <w:rFonts w:ascii="仿宋" w:eastAsia="仿宋" w:hAnsi="仿宋" w:cs="黑体" w:hint="eastAsia"/>
                <w:color w:val="333333"/>
                <w:sz w:val="28"/>
                <w:szCs w:val="28"/>
              </w:rPr>
              <w:t>单位自评</w:t>
            </w:r>
          </w:p>
        </w:tc>
        <w:tc>
          <w:tcPr>
            <w:tcW w:w="2130" w:type="dxa"/>
            <w:vAlign w:val="center"/>
          </w:tcPr>
          <w:p w:rsidR="00CB148B" w:rsidRPr="003B14C0" w:rsidRDefault="00CB148B" w:rsidP="000A72EE">
            <w:pPr>
              <w:pStyle w:val="a3"/>
              <w:widowControl/>
              <w:adjustRightInd w:val="0"/>
              <w:snapToGrid w:val="0"/>
              <w:spacing w:beforeAutospacing="0" w:afterAutospacing="0" w:line="320" w:lineRule="exact"/>
              <w:jc w:val="center"/>
              <w:rPr>
                <w:rFonts w:ascii="仿宋" w:eastAsia="仿宋" w:hAnsi="仿宋" w:cs="黑体"/>
                <w:color w:val="333333"/>
                <w:sz w:val="28"/>
                <w:szCs w:val="28"/>
              </w:rPr>
            </w:pPr>
            <w:r w:rsidRPr="003B14C0">
              <w:rPr>
                <w:rFonts w:ascii="仿宋" w:eastAsia="仿宋" w:hAnsi="仿宋" w:cs="黑体" w:hint="eastAsia"/>
                <w:color w:val="333333"/>
                <w:sz w:val="28"/>
                <w:szCs w:val="28"/>
              </w:rPr>
              <w:t>4.1～</w:t>
            </w:r>
            <w:r w:rsidR="003B14C0" w:rsidRPr="003B14C0">
              <w:rPr>
                <w:rFonts w:ascii="仿宋" w:eastAsia="仿宋" w:hAnsi="仿宋" w:cs="黑体" w:hint="eastAsia"/>
                <w:color w:val="333333"/>
                <w:sz w:val="28"/>
                <w:szCs w:val="28"/>
              </w:rPr>
              <w:t>４.30</w:t>
            </w:r>
          </w:p>
        </w:tc>
        <w:tc>
          <w:tcPr>
            <w:tcW w:w="2794" w:type="dxa"/>
            <w:vAlign w:val="center"/>
          </w:tcPr>
          <w:p w:rsidR="00CB148B" w:rsidRPr="003B14C0" w:rsidRDefault="003B14C0" w:rsidP="000A72EE">
            <w:pPr>
              <w:pStyle w:val="a3"/>
              <w:widowControl/>
              <w:adjustRightInd w:val="0"/>
              <w:snapToGrid w:val="0"/>
              <w:spacing w:beforeAutospacing="0" w:afterAutospacing="0" w:line="320" w:lineRule="exact"/>
              <w:jc w:val="center"/>
              <w:rPr>
                <w:rFonts w:ascii="仿宋" w:eastAsia="仿宋" w:hAnsi="仿宋" w:cs="黑体"/>
                <w:color w:val="333333"/>
                <w:sz w:val="28"/>
                <w:szCs w:val="28"/>
              </w:rPr>
            </w:pPr>
            <w:r w:rsidRPr="003B14C0">
              <w:rPr>
                <w:rFonts w:ascii="仿宋" w:eastAsia="仿宋" w:hAnsi="仿宋" w:cs="黑体" w:hint="eastAsia"/>
                <w:color w:val="333333"/>
                <w:sz w:val="28"/>
                <w:szCs w:val="28"/>
              </w:rPr>
              <w:t>推荐课程名单、课程自评表及支撑材料</w:t>
            </w:r>
          </w:p>
        </w:tc>
        <w:tc>
          <w:tcPr>
            <w:tcW w:w="1468" w:type="dxa"/>
            <w:vAlign w:val="center"/>
          </w:tcPr>
          <w:p w:rsidR="00CB148B" w:rsidRPr="003B14C0" w:rsidRDefault="00CB148B" w:rsidP="000A72EE">
            <w:pPr>
              <w:pStyle w:val="a3"/>
              <w:widowControl/>
              <w:adjustRightInd w:val="0"/>
              <w:snapToGrid w:val="0"/>
              <w:spacing w:beforeAutospacing="0" w:afterAutospacing="0" w:line="320" w:lineRule="exact"/>
              <w:jc w:val="center"/>
              <w:rPr>
                <w:rFonts w:ascii="仿宋" w:eastAsia="仿宋" w:hAnsi="仿宋" w:cs="黑体"/>
                <w:color w:val="333333"/>
                <w:sz w:val="28"/>
                <w:szCs w:val="28"/>
              </w:rPr>
            </w:pPr>
          </w:p>
        </w:tc>
      </w:tr>
      <w:tr w:rsidR="003B14C0" w:rsidTr="000A72EE">
        <w:tc>
          <w:tcPr>
            <w:tcW w:w="2130" w:type="dxa"/>
            <w:vAlign w:val="center"/>
          </w:tcPr>
          <w:p w:rsidR="003B14C0" w:rsidRPr="00CB148B" w:rsidRDefault="003B14C0" w:rsidP="000A72EE">
            <w:pPr>
              <w:pStyle w:val="a3"/>
              <w:widowControl/>
              <w:adjustRightInd w:val="0"/>
              <w:snapToGrid w:val="0"/>
              <w:spacing w:beforeAutospacing="0" w:afterAutospacing="0" w:line="520" w:lineRule="exact"/>
              <w:jc w:val="center"/>
              <w:rPr>
                <w:rFonts w:ascii="仿宋" w:eastAsia="仿宋" w:hAnsi="仿宋" w:cs="黑体"/>
                <w:color w:val="333333"/>
                <w:sz w:val="28"/>
                <w:szCs w:val="28"/>
              </w:rPr>
            </w:pPr>
            <w:r w:rsidRPr="00CB148B">
              <w:rPr>
                <w:rFonts w:ascii="仿宋" w:eastAsia="仿宋" w:hAnsi="仿宋" w:cs="黑体" w:hint="eastAsia"/>
                <w:color w:val="333333"/>
                <w:sz w:val="28"/>
                <w:szCs w:val="28"/>
              </w:rPr>
              <w:t>学校材料初审</w:t>
            </w:r>
          </w:p>
        </w:tc>
        <w:tc>
          <w:tcPr>
            <w:tcW w:w="2130" w:type="dxa"/>
            <w:vAlign w:val="center"/>
          </w:tcPr>
          <w:p w:rsidR="003B14C0" w:rsidRPr="003B14C0" w:rsidRDefault="003B14C0" w:rsidP="000A72EE">
            <w:pPr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黑体"/>
                <w:color w:val="333333"/>
                <w:kern w:val="0"/>
                <w:sz w:val="28"/>
                <w:szCs w:val="28"/>
                <w:lang/>
              </w:rPr>
            </w:pPr>
            <w:r w:rsidRPr="003B14C0">
              <w:rPr>
                <w:rFonts w:ascii="仿宋" w:eastAsia="仿宋" w:hAnsi="仿宋" w:cs="黑体" w:hint="eastAsia"/>
                <w:color w:val="333333"/>
                <w:kern w:val="0"/>
                <w:sz w:val="28"/>
                <w:szCs w:val="28"/>
                <w:lang/>
              </w:rPr>
              <w:t>5.2～5.15</w:t>
            </w:r>
          </w:p>
        </w:tc>
        <w:tc>
          <w:tcPr>
            <w:tcW w:w="2794" w:type="dxa"/>
            <w:vAlign w:val="center"/>
          </w:tcPr>
          <w:p w:rsidR="003B14C0" w:rsidRPr="003B14C0" w:rsidRDefault="003B14C0" w:rsidP="000A72EE">
            <w:pPr>
              <w:pStyle w:val="a3"/>
              <w:widowControl/>
              <w:adjustRightInd w:val="0"/>
              <w:snapToGrid w:val="0"/>
              <w:spacing w:beforeAutospacing="0" w:afterAutospacing="0" w:line="320" w:lineRule="exact"/>
              <w:jc w:val="center"/>
              <w:rPr>
                <w:rFonts w:ascii="仿宋" w:eastAsia="仿宋" w:hAnsi="仿宋" w:cs="黑体"/>
                <w:color w:val="333333"/>
                <w:sz w:val="28"/>
                <w:szCs w:val="28"/>
              </w:rPr>
            </w:pPr>
            <w:r>
              <w:rPr>
                <w:rFonts w:ascii="仿宋" w:eastAsia="仿宋" w:hAnsi="仿宋" w:cs="黑体" w:hint="eastAsia"/>
                <w:color w:val="333333"/>
                <w:sz w:val="28"/>
                <w:szCs w:val="28"/>
              </w:rPr>
              <w:t>初审反馈表</w:t>
            </w:r>
          </w:p>
        </w:tc>
        <w:tc>
          <w:tcPr>
            <w:tcW w:w="1468" w:type="dxa"/>
            <w:vAlign w:val="center"/>
          </w:tcPr>
          <w:p w:rsidR="003B14C0" w:rsidRPr="003B14C0" w:rsidRDefault="003B14C0" w:rsidP="000A72EE">
            <w:pPr>
              <w:pStyle w:val="a3"/>
              <w:widowControl/>
              <w:adjustRightInd w:val="0"/>
              <w:snapToGrid w:val="0"/>
              <w:spacing w:beforeAutospacing="0" w:afterAutospacing="0" w:line="320" w:lineRule="exact"/>
              <w:jc w:val="center"/>
              <w:rPr>
                <w:rFonts w:ascii="仿宋" w:eastAsia="仿宋" w:hAnsi="仿宋" w:cs="黑体"/>
                <w:color w:val="333333"/>
                <w:sz w:val="28"/>
                <w:szCs w:val="28"/>
              </w:rPr>
            </w:pPr>
          </w:p>
        </w:tc>
      </w:tr>
      <w:tr w:rsidR="003B14C0" w:rsidTr="000A72EE">
        <w:tc>
          <w:tcPr>
            <w:tcW w:w="2130" w:type="dxa"/>
            <w:vAlign w:val="center"/>
          </w:tcPr>
          <w:p w:rsidR="003B14C0" w:rsidRDefault="003B14C0" w:rsidP="000A72EE">
            <w:pPr>
              <w:pStyle w:val="a3"/>
              <w:widowControl/>
              <w:adjustRightInd w:val="0"/>
              <w:snapToGrid w:val="0"/>
              <w:spacing w:beforeAutospacing="0" w:afterAutospacing="0" w:line="520" w:lineRule="exact"/>
              <w:jc w:val="center"/>
              <w:rPr>
                <w:rFonts w:ascii="仿宋" w:eastAsia="仿宋" w:hAnsi="仿宋" w:cs="黑体"/>
                <w:color w:val="333333"/>
                <w:sz w:val="28"/>
                <w:szCs w:val="28"/>
              </w:rPr>
            </w:pPr>
            <w:r>
              <w:rPr>
                <w:rFonts w:ascii="仿宋" w:eastAsia="仿宋" w:hAnsi="仿宋" w:cs="黑体" w:hint="eastAsia"/>
                <w:color w:val="333333"/>
                <w:sz w:val="28"/>
                <w:szCs w:val="28"/>
              </w:rPr>
              <w:t>不合格材料</w:t>
            </w:r>
          </w:p>
          <w:p w:rsidR="003B14C0" w:rsidRPr="00CB148B" w:rsidRDefault="003B14C0" w:rsidP="000A72EE">
            <w:pPr>
              <w:pStyle w:val="a3"/>
              <w:widowControl/>
              <w:adjustRightInd w:val="0"/>
              <w:snapToGrid w:val="0"/>
              <w:spacing w:beforeAutospacing="0" w:afterAutospacing="0" w:line="520" w:lineRule="exact"/>
              <w:jc w:val="center"/>
              <w:rPr>
                <w:rFonts w:ascii="仿宋" w:eastAsia="仿宋" w:hAnsi="仿宋" w:cs="黑体"/>
                <w:color w:val="333333"/>
                <w:sz w:val="28"/>
                <w:szCs w:val="28"/>
              </w:rPr>
            </w:pPr>
            <w:r>
              <w:rPr>
                <w:rFonts w:ascii="仿宋" w:eastAsia="仿宋" w:hAnsi="仿宋" w:cs="黑体" w:hint="eastAsia"/>
                <w:color w:val="333333"/>
                <w:sz w:val="28"/>
                <w:szCs w:val="28"/>
              </w:rPr>
              <w:t>退回修改</w:t>
            </w:r>
          </w:p>
        </w:tc>
        <w:tc>
          <w:tcPr>
            <w:tcW w:w="2130" w:type="dxa"/>
            <w:vAlign w:val="center"/>
          </w:tcPr>
          <w:p w:rsidR="003B14C0" w:rsidRPr="003B14C0" w:rsidRDefault="003B14C0" w:rsidP="000A72EE">
            <w:pPr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黑体"/>
                <w:color w:val="333333"/>
                <w:kern w:val="0"/>
                <w:sz w:val="28"/>
                <w:szCs w:val="28"/>
                <w:lang/>
              </w:rPr>
            </w:pPr>
            <w:r w:rsidRPr="003B14C0">
              <w:rPr>
                <w:rFonts w:ascii="仿宋" w:eastAsia="仿宋" w:hAnsi="仿宋" w:cs="黑体" w:hint="eastAsia"/>
                <w:color w:val="333333"/>
                <w:kern w:val="0"/>
                <w:sz w:val="28"/>
                <w:szCs w:val="28"/>
                <w:lang/>
              </w:rPr>
              <w:t>5.16～6.15</w:t>
            </w:r>
          </w:p>
        </w:tc>
        <w:tc>
          <w:tcPr>
            <w:tcW w:w="2794" w:type="dxa"/>
            <w:vAlign w:val="center"/>
          </w:tcPr>
          <w:p w:rsidR="003B14C0" w:rsidRPr="003B14C0" w:rsidRDefault="000A72EE" w:rsidP="000A72EE">
            <w:pPr>
              <w:pStyle w:val="a3"/>
              <w:widowControl/>
              <w:adjustRightInd w:val="0"/>
              <w:snapToGrid w:val="0"/>
              <w:spacing w:beforeAutospacing="0" w:afterAutospacing="0" w:line="320" w:lineRule="exact"/>
              <w:jc w:val="center"/>
              <w:rPr>
                <w:rFonts w:ascii="仿宋" w:eastAsia="仿宋" w:hAnsi="仿宋" w:cs="黑体"/>
                <w:color w:val="333333"/>
                <w:sz w:val="28"/>
                <w:szCs w:val="28"/>
              </w:rPr>
            </w:pPr>
            <w:r w:rsidRPr="000A72EE">
              <w:rPr>
                <w:rFonts w:ascii="仿宋" w:eastAsia="仿宋" w:hAnsi="仿宋" w:cs="黑体" w:hint="eastAsia"/>
                <w:color w:val="333333"/>
                <w:sz w:val="28"/>
                <w:szCs w:val="28"/>
              </w:rPr>
              <w:t>课程自评表及支撑材料</w:t>
            </w:r>
            <w:r>
              <w:rPr>
                <w:rFonts w:ascii="仿宋" w:eastAsia="仿宋" w:hAnsi="仿宋" w:cs="黑体" w:hint="eastAsia"/>
                <w:color w:val="333333"/>
                <w:sz w:val="28"/>
                <w:szCs w:val="28"/>
              </w:rPr>
              <w:t>（修改后的）</w:t>
            </w:r>
          </w:p>
        </w:tc>
        <w:tc>
          <w:tcPr>
            <w:tcW w:w="1468" w:type="dxa"/>
            <w:vAlign w:val="center"/>
          </w:tcPr>
          <w:p w:rsidR="003B14C0" w:rsidRPr="003B14C0" w:rsidRDefault="003B14C0" w:rsidP="000A72EE">
            <w:pPr>
              <w:pStyle w:val="a3"/>
              <w:widowControl/>
              <w:adjustRightInd w:val="0"/>
              <w:snapToGrid w:val="0"/>
              <w:spacing w:beforeAutospacing="0" w:afterAutospacing="0" w:line="320" w:lineRule="exact"/>
              <w:jc w:val="center"/>
              <w:rPr>
                <w:rFonts w:ascii="仿宋" w:eastAsia="仿宋" w:hAnsi="仿宋" w:cs="黑体"/>
                <w:color w:val="333333"/>
                <w:sz w:val="28"/>
                <w:szCs w:val="28"/>
              </w:rPr>
            </w:pPr>
          </w:p>
        </w:tc>
      </w:tr>
      <w:tr w:rsidR="003B14C0" w:rsidTr="000A72EE">
        <w:tc>
          <w:tcPr>
            <w:tcW w:w="2130" w:type="dxa"/>
            <w:vAlign w:val="center"/>
          </w:tcPr>
          <w:p w:rsidR="003B14C0" w:rsidRPr="00CB148B" w:rsidRDefault="003B14C0" w:rsidP="000A72EE">
            <w:pPr>
              <w:pStyle w:val="a3"/>
              <w:widowControl/>
              <w:adjustRightInd w:val="0"/>
              <w:snapToGrid w:val="0"/>
              <w:spacing w:beforeAutospacing="0" w:afterAutospacing="0" w:line="520" w:lineRule="exact"/>
              <w:jc w:val="center"/>
              <w:rPr>
                <w:rFonts w:ascii="仿宋" w:eastAsia="仿宋" w:hAnsi="仿宋" w:cs="黑体"/>
                <w:color w:val="333333"/>
                <w:sz w:val="28"/>
                <w:szCs w:val="28"/>
              </w:rPr>
            </w:pPr>
            <w:r w:rsidRPr="00CB148B">
              <w:rPr>
                <w:rFonts w:ascii="仿宋" w:eastAsia="仿宋" w:hAnsi="仿宋" w:cs="黑体" w:hint="eastAsia"/>
                <w:color w:val="333333"/>
                <w:sz w:val="28"/>
                <w:szCs w:val="28"/>
              </w:rPr>
              <w:t>专家评估</w:t>
            </w:r>
          </w:p>
        </w:tc>
        <w:tc>
          <w:tcPr>
            <w:tcW w:w="2130" w:type="dxa"/>
            <w:vAlign w:val="center"/>
          </w:tcPr>
          <w:p w:rsidR="003B14C0" w:rsidRPr="003B14C0" w:rsidRDefault="003B14C0" w:rsidP="000A72EE">
            <w:pPr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黑体"/>
                <w:color w:val="333333"/>
                <w:kern w:val="0"/>
                <w:sz w:val="28"/>
                <w:szCs w:val="28"/>
                <w:lang/>
              </w:rPr>
            </w:pPr>
            <w:r w:rsidRPr="003B14C0">
              <w:rPr>
                <w:rFonts w:ascii="仿宋" w:eastAsia="仿宋" w:hAnsi="仿宋" w:cs="黑体" w:hint="eastAsia"/>
                <w:color w:val="333333"/>
                <w:kern w:val="0"/>
                <w:sz w:val="28"/>
                <w:szCs w:val="28"/>
                <w:lang/>
              </w:rPr>
              <w:t>6.16～6.30</w:t>
            </w:r>
          </w:p>
        </w:tc>
        <w:tc>
          <w:tcPr>
            <w:tcW w:w="2794" w:type="dxa"/>
            <w:vAlign w:val="center"/>
          </w:tcPr>
          <w:p w:rsidR="003B14C0" w:rsidRPr="003B14C0" w:rsidRDefault="000A72EE" w:rsidP="000A72EE">
            <w:pPr>
              <w:pStyle w:val="a3"/>
              <w:widowControl/>
              <w:adjustRightInd w:val="0"/>
              <w:snapToGrid w:val="0"/>
              <w:spacing w:beforeAutospacing="0" w:afterAutospacing="0" w:line="320" w:lineRule="exact"/>
              <w:jc w:val="center"/>
              <w:rPr>
                <w:rFonts w:ascii="仿宋" w:eastAsia="仿宋" w:hAnsi="仿宋" w:cs="黑体"/>
                <w:color w:val="333333"/>
                <w:sz w:val="28"/>
                <w:szCs w:val="28"/>
              </w:rPr>
            </w:pPr>
            <w:r>
              <w:rPr>
                <w:rFonts w:ascii="仿宋" w:eastAsia="仿宋" w:hAnsi="仿宋" w:cs="黑体" w:hint="eastAsia"/>
                <w:color w:val="333333"/>
                <w:sz w:val="28"/>
                <w:szCs w:val="28"/>
              </w:rPr>
              <w:t>评审课程清单、指标体系及打分表、</w:t>
            </w:r>
            <w:r w:rsidRPr="000A72EE">
              <w:rPr>
                <w:rFonts w:ascii="仿宋" w:eastAsia="仿宋" w:hAnsi="仿宋" w:cs="黑体" w:hint="eastAsia"/>
                <w:color w:val="333333"/>
                <w:sz w:val="28"/>
                <w:szCs w:val="28"/>
              </w:rPr>
              <w:t>课程自评表及支撑材料</w:t>
            </w:r>
          </w:p>
        </w:tc>
        <w:tc>
          <w:tcPr>
            <w:tcW w:w="1468" w:type="dxa"/>
            <w:vAlign w:val="center"/>
          </w:tcPr>
          <w:p w:rsidR="003B14C0" w:rsidRPr="003B14C0" w:rsidRDefault="003B14C0" w:rsidP="000A72EE">
            <w:pPr>
              <w:pStyle w:val="a3"/>
              <w:widowControl/>
              <w:adjustRightInd w:val="0"/>
              <w:snapToGrid w:val="0"/>
              <w:spacing w:beforeAutospacing="0" w:afterAutospacing="0" w:line="320" w:lineRule="exact"/>
              <w:jc w:val="center"/>
              <w:rPr>
                <w:rFonts w:ascii="仿宋" w:eastAsia="仿宋" w:hAnsi="仿宋" w:cs="黑体"/>
                <w:color w:val="333333"/>
                <w:sz w:val="28"/>
                <w:szCs w:val="28"/>
              </w:rPr>
            </w:pPr>
          </w:p>
        </w:tc>
      </w:tr>
      <w:tr w:rsidR="003B14C0" w:rsidTr="000A72EE">
        <w:tc>
          <w:tcPr>
            <w:tcW w:w="2130" w:type="dxa"/>
            <w:vAlign w:val="center"/>
          </w:tcPr>
          <w:p w:rsidR="003B14C0" w:rsidRPr="00CB148B" w:rsidRDefault="003B14C0" w:rsidP="000A72EE">
            <w:pPr>
              <w:pStyle w:val="a3"/>
              <w:widowControl/>
              <w:adjustRightInd w:val="0"/>
              <w:snapToGrid w:val="0"/>
              <w:spacing w:beforeAutospacing="0" w:afterAutospacing="0" w:line="520" w:lineRule="exact"/>
              <w:jc w:val="center"/>
              <w:rPr>
                <w:rFonts w:ascii="仿宋" w:eastAsia="仿宋" w:hAnsi="仿宋" w:cs="黑体"/>
                <w:color w:val="333333"/>
                <w:sz w:val="28"/>
                <w:szCs w:val="28"/>
              </w:rPr>
            </w:pPr>
            <w:r w:rsidRPr="00CB148B">
              <w:rPr>
                <w:rFonts w:ascii="仿宋" w:eastAsia="仿宋" w:hAnsi="仿宋" w:cs="黑体" w:hint="eastAsia"/>
                <w:color w:val="333333"/>
                <w:sz w:val="28"/>
                <w:szCs w:val="28"/>
              </w:rPr>
              <w:t>结果反馈</w:t>
            </w:r>
          </w:p>
        </w:tc>
        <w:tc>
          <w:tcPr>
            <w:tcW w:w="2130" w:type="dxa"/>
            <w:vAlign w:val="center"/>
          </w:tcPr>
          <w:p w:rsidR="003B14C0" w:rsidRPr="003B14C0" w:rsidRDefault="003B14C0" w:rsidP="000A72EE">
            <w:pPr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黑体"/>
                <w:color w:val="333333"/>
                <w:kern w:val="0"/>
                <w:sz w:val="28"/>
                <w:szCs w:val="28"/>
                <w:lang/>
              </w:rPr>
            </w:pPr>
            <w:r w:rsidRPr="003B14C0">
              <w:rPr>
                <w:rFonts w:ascii="仿宋" w:eastAsia="仿宋" w:hAnsi="仿宋" w:cs="黑体" w:hint="eastAsia"/>
                <w:color w:val="333333"/>
                <w:kern w:val="0"/>
                <w:sz w:val="28"/>
                <w:szCs w:val="28"/>
                <w:lang/>
              </w:rPr>
              <w:t>7.1～7.7</w:t>
            </w:r>
          </w:p>
        </w:tc>
        <w:tc>
          <w:tcPr>
            <w:tcW w:w="2794" w:type="dxa"/>
            <w:vAlign w:val="center"/>
          </w:tcPr>
          <w:p w:rsidR="003B14C0" w:rsidRPr="003B14C0" w:rsidRDefault="000A72EE" w:rsidP="000A72EE">
            <w:pPr>
              <w:pStyle w:val="a3"/>
              <w:widowControl/>
              <w:adjustRightInd w:val="0"/>
              <w:snapToGrid w:val="0"/>
              <w:spacing w:beforeAutospacing="0" w:afterAutospacing="0" w:line="320" w:lineRule="exact"/>
              <w:jc w:val="center"/>
              <w:rPr>
                <w:rFonts w:ascii="仿宋" w:eastAsia="仿宋" w:hAnsi="仿宋" w:cs="黑体"/>
                <w:color w:val="333333"/>
                <w:sz w:val="28"/>
                <w:szCs w:val="28"/>
              </w:rPr>
            </w:pPr>
            <w:r>
              <w:rPr>
                <w:rFonts w:ascii="仿宋" w:eastAsia="仿宋" w:hAnsi="仿宋" w:cs="黑体" w:hint="eastAsia"/>
                <w:color w:val="333333"/>
                <w:sz w:val="28"/>
                <w:szCs w:val="28"/>
              </w:rPr>
              <w:t>专家评审</w:t>
            </w:r>
            <w:r w:rsidR="004A123A">
              <w:rPr>
                <w:rFonts w:ascii="仿宋" w:eastAsia="仿宋" w:hAnsi="仿宋" w:cs="黑体" w:hint="eastAsia"/>
                <w:color w:val="333333"/>
                <w:sz w:val="28"/>
                <w:szCs w:val="28"/>
              </w:rPr>
              <w:t>结果及整改建议</w:t>
            </w:r>
          </w:p>
        </w:tc>
        <w:tc>
          <w:tcPr>
            <w:tcW w:w="1468" w:type="dxa"/>
            <w:vAlign w:val="center"/>
          </w:tcPr>
          <w:p w:rsidR="003B14C0" w:rsidRPr="003B14C0" w:rsidRDefault="003B14C0" w:rsidP="000A72EE">
            <w:pPr>
              <w:pStyle w:val="a3"/>
              <w:widowControl/>
              <w:adjustRightInd w:val="0"/>
              <w:snapToGrid w:val="0"/>
              <w:spacing w:beforeAutospacing="0" w:afterAutospacing="0" w:line="320" w:lineRule="exact"/>
              <w:jc w:val="center"/>
              <w:rPr>
                <w:rFonts w:ascii="仿宋" w:eastAsia="仿宋" w:hAnsi="仿宋" w:cs="黑体"/>
                <w:color w:val="333333"/>
                <w:sz w:val="28"/>
                <w:szCs w:val="28"/>
              </w:rPr>
            </w:pPr>
          </w:p>
        </w:tc>
      </w:tr>
    </w:tbl>
    <w:p w:rsidR="00CB148B" w:rsidRDefault="00CB148B" w:rsidP="00D612C1">
      <w:pPr>
        <w:pStyle w:val="a3"/>
        <w:widowControl/>
        <w:adjustRightInd w:val="0"/>
        <w:snapToGrid w:val="0"/>
        <w:spacing w:beforeAutospacing="0" w:afterAutospacing="0" w:line="520" w:lineRule="exact"/>
        <w:ind w:firstLineChars="200" w:firstLine="643"/>
        <w:rPr>
          <w:rFonts w:ascii="黑体" w:eastAsia="黑体" w:hAnsi="宋体" w:cs="黑体"/>
          <w:b/>
          <w:color w:val="333333"/>
          <w:sz w:val="32"/>
          <w:szCs w:val="32"/>
        </w:rPr>
      </w:pPr>
    </w:p>
    <w:p w:rsidR="00D612C1" w:rsidRPr="00D612C1" w:rsidRDefault="00D612C1" w:rsidP="00D612C1">
      <w:pPr>
        <w:pStyle w:val="a3"/>
        <w:widowControl/>
        <w:adjustRightInd w:val="0"/>
        <w:snapToGrid w:val="0"/>
        <w:spacing w:beforeAutospacing="0" w:afterAutospacing="0" w:line="520" w:lineRule="exact"/>
        <w:ind w:firstLineChars="200" w:firstLine="643"/>
        <w:rPr>
          <w:rFonts w:ascii="黑体" w:eastAsia="黑体" w:hAnsi="宋体" w:cs="黑体"/>
          <w:b/>
          <w:color w:val="333333"/>
          <w:sz w:val="32"/>
          <w:szCs w:val="32"/>
        </w:rPr>
      </w:pPr>
      <w:r>
        <w:rPr>
          <w:rFonts w:ascii="黑体" w:eastAsia="黑体" w:hAnsi="宋体" w:cs="黑体" w:hint="eastAsia"/>
          <w:b/>
          <w:color w:val="333333"/>
          <w:sz w:val="32"/>
          <w:szCs w:val="32"/>
        </w:rPr>
        <w:t>五、评估</w:t>
      </w:r>
      <w:r w:rsidRPr="00D612C1">
        <w:rPr>
          <w:rFonts w:ascii="黑体" w:eastAsia="黑体" w:hAnsi="宋体" w:cs="黑体" w:hint="eastAsia"/>
          <w:b/>
          <w:color w:val="333333"/>
          <w:sz w:val="32"/>
          <w:szCs w:val="32"/>
        </w:rPr>
        <w:t>结果使用</w:t>
      </w:r>
    </w:p>
    <w:p w:rsidR="00D612C1" w:rsidRPr="00773F31" w:rsidRDefault="002C3B7D" w:rsidP="002C3B7D">
      <w:pPr>
        <w:pStyle w:val="a3"/>
        <w:widowControl/>
        <w:adjustRightInd w:val="0"/>
        <w:snapToGrid w:val="0"/>
        <w:spacing w:beforeAutospacing="0" w:afterAutospacing="0" w:line="520" w:lineRule="exact"/>
        <w:ind w:firstLineChars="200" w:firstLine="560"/>
        <w:rPr>
          <w:rFonts w:ascii="仿宋_GB2312" w:eastAsia="仿宋_GB2312" w:hAnsi="Arial" w:cs="仿宋_GB2312"/>
          <w:sz w:val="28"/>
          <w:szCs w:val="28"/>
        </w:rPr>
      </w:pPr>
      <w:r w:rsidRPr="00773F31">
        <w:rPr>
          <w:rFonts w:ascii="仿宋_GB2312" w:eastAsia="仿宋_GB2312" w:hAnsi="Arial" w:cs="仿宋_GB2312" w:hint="eastAsia"/>
          <w:sz w:val="28"/>
          <w:szCs w:val="28"/>
        </w:rPr>
        <w:t>课程评估结果将作为课程建设立项支持，教学研究与教学改革立项支持的重要依据。</w:t>
      </w:r>
    </w:p>
    <w:p w:rsidR="00D612C1" w:rsidRPr="00D612C1" w:rsidRDefault="00D612C1" w:rsidP="00D612C1">
      <w:pPr>
        <w:pStyle w:val="a3"/>
        <w:widowControl/>
        <w:adjustRightInd w:val="0"/>
        <w:snapToGrid w:val="0"/>
        <w:spacing w:beforeAutospacing="0" w:afterAutospacing="0" w:line="520" w:lineRule="exact"/>
        <w:ind w:firstLineChars="200" w:firstLine="643"/>
        <w:rPr>
          <w:rFonts w:ascii="黑体" w:eastAsia="黑体" w:hAnsi="宋体" w:cs="黑体"/>
          <w:b/>
          <w:color w:val="333333"/>
          <w:sz w:val="32"/>
          <w:szCs w:val="32"/>
        </w:rPr>
      </w:pPr>
      <w:r w:rsidRPr="00D612C1">
        <w:rPr>
          <w:rFonts w:ascii="黑体" w:eastAsia="黑体" w:hAnsi="宋体" w:cs="黑体" w:hint="eastAsia"/>
          <w:b/>
          <w:color w:val="333333"/>
          <w:sz w:val="32"/>
          <w:szCs w:val="32"/>
        </w:rPr>
        <w:t>六、工作</w:t>
      </w:r>
      <w:r>
        <w:rPr>
          <w:rFonts w:ascii="黑体" w:eastAsia="黑体" w:hAnsi="宋体" w:cs="黑体" w:hint="eastAsia"/>
          <w:b/>
          <w:color w:val="333333"/>
          <w:sz w:val="32"/>
          <w:szCs w:val="32"/>
        </w:rPr>
        <w:t>其他</w:t>
      </w:r>
      <w:r w:rsidRPr="00D612C1">
        <w:rPr>
          <w:rFonts w:ascii="黑体" w:eastAsia="黑体" w:hAnsi="宋体" w:cs="黑体" w:hint="eastAsia"/>
          <w:b/>
          <w:color w:val="333333"/>
          <w:sz w:val="32"/>
          <w:szCs w:val="32"/>
        </w:rPr>
        <w:t xml:space="preserve">要求 </w:t>
      </w:r>
    </w:p>
    <w:p w:rsidR="00D612C1" w:rsidRPr="00D612C1" w:rsidRDefault="008B02F7" w:rsidP="00D612C1">
      <w:pPr>
        <w:pStyle w:val="a3"/>
        <w:widowControl/>
        <w:adjustRightInd w:val="0"/>
        <w:snapToGrid w:val="0"/>
        <w:spacing w:beforeAutospacing="0" w:afterAutospacing="0" w:line="520" w:lineRule="exact"/>
        <w:ind w:firstLineChars="200" w:firstLine="560"/>
        <w:rPr>
          <w:rFonts w:ascii="仿宋_GB2312" w:eastAsia="仿宋_GB2312" w:hAnsi="Arial" w:cs="仿宋_GB2312"/>
          <w:color w:val="333333"/>
          <w:sz w:val="28"/>
          <w:szCs w:val="28"/>
        </w:rPr>
      </w:pPr>
      <w:r>
        <w:rPr>
          <w:rFonts w:ascii="仿宋_GB2312" w:eastAsia="仿宋_GB2312" w:hAnsi="Arial" w:cs="仿宋_GB2312" w:hint="eastAsia"/>
          <w:color w:val="333333"/>
          <w:sz w:val="28"/>
          <w:szCs w:val="28"/>
        </w:rPr>
        <w:t>1.</w:t>
      </w:r>
      <w:r w:rsidR="00D612C1" w:rsidRPr="00D612C1">
        <w:rPr>
          <w:rFonts w:ascii="仿宋_GB2312" w:eastAsia="仿宋_GB2312" w:hAnsi="Arial" w:cs="仿宋_GB2312" w:hint="eastAsia"/>
          <w:color w:val="333333"/>
          <w:sz w:val="28"/>
          <w:szCs w:val="28"/>
        </w:rPr>
        <w:t xml:space="preserve">各学院提交的相关材料必须真实、全面。 </w:t>
      </w:r>
    </w:p>
    <w:p w:rsidR="00D612C1" w:rsidRDefault="008B02F7" w:rsidP="00D612C1">
      <w:pPr>
        <w:pStyle w:val="a3"/>
        <w:widowControl/>
        <w:adjustRightInd w:val="0"/>
        <w:snapToGrid w:val="0"/>
        <w:spacing w:beforeAutospacing="0" w:afterAutospacing="0" w:line="520" w:lineRule="exact"/>
        <w:ind w:firstLineChars="200" w:firstLine="560"/>
        <w:rPr>
          <w:rFonts w:ascii="仿宋_GB2312" w:eastAsia="仿宋_GB2312" w:hAnsi="Arial" w:cs="仿宋_GB2312"/>
          <w:color w:val="333333"/>
          <w:sz w:val="28"/>
          <w:szCs w:val="28"/>
        </w:rPr>
      </w:pPr>
      <w:r>
        <w:rPr>
          <w:rFonts w:ascii="仿宋_GB2312" w:eastAsia="仿宋_GB2312" w:hAnsi="Arial" w:cs="仿宋_GB2312" w:hint="eastAsia"/>
          <w:color w:val="333333"/>
          <w:sz w:val="28"/>
          <w:szCs w:val="28"/>
        </w:rPr>
        <w:t>2.</w:t>
      </w:r>
      <w:r w:rsidR="00D612C1" w:rsidRPr="00D612C1">
        <w:rPr>
          <w:rFonts w:ascii="仿宋_GB2312" w:eastAsia="仿宋_GB2312" w:hAnsi="Arial" w:cs="仿宋_GB2312" w:hint="eastAsia"/>
          <w:color w:val="333333"/>
          <w:sz w:val="28"/>
          <w:szCs w:val="28"/>
        </w:rPr>
        <w:t>各环节的工作时间须严格按计划执行</w:t>
      </w:r>
      <w:r>
        <w:rPr>
          <w:rFonts w:ascii="仿宋_GB2312" w:eastAsia="仿宋_GB2312" w:hAnsi="Arial" w:cs="仿宋_GB2312" w:hint="eastAsia"/>
          <w:color w:val="333333"/>
          <w:sz w:val="28"/>
          <w:szCs w:val="28"/>
        </w:rPr>
        <w:t>。</w:t>
      </w:r>
    </w:p>
    <w:p w:rsidR="008B02F7" w:rsidRDefault="008B02F7" w:rsidP="00D612C1">
      <w:pPr>
        <w:pStyle w:val="a3"/>
        <w:widowControl/>
        <w:adjustRightInd w:val="0"/>
        <w:snapToGrid w:val="0"/>
        <w:spacing w:beforeAutospacing="0" w:afterAutospacing="0" w:line="520" w:lineRule="exact"/>
        <w:ind w:firstLineChars="200" w:firstLine="560"/>
        <w:rPr>
          <w:rFonts w:ascii="仿宋_GB2312" w:eastAsia="仿宋_GB2312" w:hAnsi="Arial" w:cs="仿宋_GB2312"/>
          <w:color w:val="333333"/>
          <w:sz w:val="28"/>
          <w:szCs w:val="28"/>
        </w:rPr>
      </w:pPr>
      <w:r>
        <w:rPr>
          <w:rFonts w:ascii="仿宋_GB2312" w:eastAsia="仿宋_GB2312" w:hAnsi="Arial" w:cs="仿宋_GB2312" w:hint="eastAsia"/>
          <w:color w:val="333333"/>
          <w:sz w:val="28"/>
          <w:szCs w:val="28"/>
        </w:rPr>
        <w:t>3.</w:t>
      </w:r>
      <w:r w:rsidR="003C632E">
        <w:rPr>
          <w:rFonts w:ascii="仿宋_GB2312" w:eastAsia="仿宋_GB2312" w:hAnsi="Arial" w:cs="仿宋_GB2312" w:hint="eastAsia"/>
          <w:color w:val="333333"/>
          <w:sz w:val="28"/>
          <w:szCs w:val="28"/>
        </w:rPr>
        <w:t>2020年课程</w:t>
      </w:r>
      <w:r>
        <w:rPr>
          <w:rFonts w:ascii="仿宋_GB2312" w:eastAsia="仿宋_GB2312" w:hAnsi="Arial" w:cs="仿宋_GB2312" w:hint="eastAsia"/>
          <w:color w:val="333333"/>
          <w:sz w:val="28"/>
          <w:szCs w:val="28"/>
        </w:rPr>
        <w:t>评估中公共基础课程、学科基础课程的</w:t>
      </w:r>
      <w:r w:rsidR="007F41B5">
        <w:rPr>
          <w:rFonts w:ascii="仿宋_GB2312" w:eastAsia="仿宋_GB2312" w:hAnsi="Arial" w:cs="仿宋_GB2312" w:hint="eastAsia"/>
          <w:color w:val="333333"/>
          <w:sz w:val="28"/>
          <w:szCs w:val="28"/>
        </w:rPr>
        <w:t>自评表</w:t>
      </w:r>
      <w:r>
        <w:rPr>
          <w:rFonts w:ascii="仿宋_GB2312" w:eastAsia="仿宋_GB2312" w:hAnsi="Arial" w:cs="仿宋_GB2312" w:hint="eastAsia"/>
          <w:color w:val="333333"/>
          <w:sz w:val="28"/>
          <w:szCs w:val="28"/>
        </w:rPr>
        <w:t>可选取所服务的1个主要专业（类）</w:t>
      </w:r>
      <w:r w:rsidR="007F41B5">
        <w:rPr>
          <w:rFonts w:ascii="仿宋_GB2312" w:eastAsia="仿宋_GB2312" w:hAnsi="Arial" w:cs="仿宋_GB2312" w:hint="eastAsia"/>
          <w:color w:val="333333"/>
          <w:sz w:val="28"/>
          <w:szCs w:val="28"/>
        </w:rPr>
        <w:t>撰写，主要考核课程服务专业和处理课程间相互衔接关系的情况。因此公共基础课程和学科基础课程须</w:t>
      </w:r>
      <w:r w:rsidR="003C632E">
        <w:rPr>
          <w:rFonts w:ascii="仿宋_GB2312" w:eastAsia="仿宋_GB2312" w:hAnsi="Arial" w:cs="仿宋_GB2312" w:hint="eastAsia"/>
          <w:color w:val="333333"/>
          <w:sz w:val="28"/>
          <w:szCs w:val="28"/>
        </w:rPr>
        <w:t>提前</w:t>
      </w:r>
      <w:r w:rsidR="007F41B5">
        <w:rPr>
          <w:rFonts w:ascii="仿宋_GB2312" w:eastAsia="仿宋_GB2312" w:hAnsi="Arial" w:cs="仿宋_GB2312" w:hint="eastAsia"/>
          <w:color w:val="333333"/>
          <w:sz w:val="28"/>
          <w:szCs w:val="28"/>
        </w:rPr>
        <w:t>做好与服务专业的对接工作。</w:t>
      </w:r>
    </w:p>
    <w:p w:rsidR="007F41B5" w:rsidRPr="00D612C1" w:rsidRDefault="007F41B5" w:rsidP="00D612C1">
      <w:pPr>
        <w:pStyle w:val="a3"/>
        <w:widowControl/>
        <w:adjustRightInd w:val="0"/>
        <w:snapToGrid w:val="0"/>
        <w:spacing w:beforeAutospacing="0" w:afterAutospacing="0" w:line="520" w:lineRule="exact"/>
        <w:ind w:firstLineChars="200" w:firstLine="560"/>
        <w:rPr>
          <w:rFonts w:ascii="仿宋_GB2312" w:eastAsia="仿宋_GB2312" w:hAnsi="Arial" w:cs="仿宋_GB2312"/>
          <w:color w:val="333333"/>
          <w:sz w:val="28"/>
          <w:szCs w:val="28"/>
        </w:rPr>
      </w:pPr>
      <w:r>
        <w:rPr>
          <w:rFonts w:ascii="仿宋_GB2312" w:eastAsia="仿宋_GB2312" w:hAnsi="Arial" w:cs="仿宋_GB2312" w:hint="eastAsia"/>
          <w:color w:val="333333"/>
          <w:sz w:val="28"/>
          <w:szCs w:val="28"/>
        </w:rPr>
        <w:t>4.由于课程评估指标涉及学院的教学管理相关文件制度，需学院为</w:t>
      </w:r>
      <w:r w:rsidR="00625FE4">
        <w:rPr>
          <w:rFonts w:ascii="仿宋_GB2312" w:eastAsia="仿宋_GB2312" w:hAnsi="Arial" w:cs="仿宋_GB2312" w:hint="eastAsia"/>
          <w:color w:val="333333"/>
          <w:sz w:val="28"/>
          <w:szCs w:val="28"/>
        </w:rPr>
        <w:t>被</w:t>
      </w:r>
      <w:r>
        <w:rPr>
          <w:rFonts w:ascii="仿宋_GB2312" w:eastAsia="仿宋_GB2312" w:hAnsi="Arial" w:cs="仿宋_GB2312" w:hint="eastAsia"/>
          <w:color w:val="333333"/>
          <w:sz w:val="28"/>
          <w:szCs w:val="28"/>
        </w:rPr>
        <w:t>评估课程提前提供相关支撑材料。</w:t>
      </w:r>
    </w:p>
    <w:p w:rsidR="003F19BF" w:rsidRDefault="00EC0126" w:rsidP="00D612C1">
      <w:pPr>
        <w:pStyle w:val="a3"/>
        <w:widowControl/>
        <w:adjustRightInd w:val="0"/>
        <w:snapToGrid w:val="0"/>
        <w:spacing w:beforeAutospacing="0" w:afterAutospacing="0" w:line="520" w:lineRule="exact"/>
        <w:ind w:firstLineChars="200" w:firstLine="560"/>
        <w:rPr>
          <w:rFonts w:ascii="仿宋_GB2312" w:eastAsia="仿宋_GB2312" w:hAnsi="Arial" w:cs="仿宋_GB2312"/>
          <w:color w:val="333333"/>
          <w:sz w:val="28"/>
          <w:szCs w:val="28"/>
        </w:rPr>
      </w:pPr>
      <w:r w:rsidRPr="00D612C1">
        <w:rPr>
          <w:rFonts w:ascii="仿宋_GB2312" w:eastAsia="仿宋_GB2312" w:hAnsi="Arial" w:cs="仿宋_GB2312" w:hint="eastAsia"/>
          <w:color w:val="333333"/>
          <w:sz w:val="28"/>
          <w:szCs w:val="28"/>
        </w:rPr>
        <w:t> </w:t>
      </w:r>
      <w:r w:rsidR="003F19BF" w:rsidRPr="003F19BF">
        <w:rPr>
          <w:rFonts w:ascii="仿宋_GB2312" w:eastAsia="仿宋_GB2312" w:hAnsi="Arial" w:cs="仿宋_GB2312" w:hint="eastAsia"/>
          <w:color w:val="333333"/>
          <w:sz w:val="28"/>
          <w:szCs w:val="28"/>
        </w:rPr>
        <w:t xml:space="preserve">附件：1. </w:t>
      </w:r>
      <w:r w:rsidR="003F19BF">
        <w:rPr>
          <w:rFonts w:ascii="仿宋_GB2312" w:eastAsia="仿宋_GB2312" w:hAnsi="Arial" w:cs="仿宋_GB2312" w:hint="eastAsia"/>
          <w:color w:val="333333"/>
          <w:sz w:val="28"/>
          <w:szCs w:val="28"/>
        </w:rPr>
        <w:t>《本科课程评估评审指标体系》</w:t>
      </w:r>
      <w:r w:rsidR="00CB148B">
        <w:rPr>
          <w:rFonts w:ascii="仿宋_GB2312" w:eastAsia="仿宋_GB2312" w:hAnsi="Arial" w:cs="仿宋_GB2312" w:hint="eastAsia"/>
          <w:color w:val="333333"/>
          <w:sz w:val="28"/>
          <w:szCs w:val="28"/>
        </w:rPr>
        <w:t>（20</w:t>
      </w:r>
      <w:r w:rsidR="001126DE">
        <w:rPr>
          <w:rFonts w:ascii="仿宋_GB2312" w:eastAsia="仿宋_GB2312" w:hAnsi="Arial" w:cs="仿宋_GB2312" w:hint="eastAsia"/>
          <w:color w:val="333333"/>
          <w:sz w:val="28"/>
          <w:szCs w:val="28"/>
        </w:rPr>
        <w:t>19</w:t>
      </w:r>
      <w:r w:rsidR="00CB148B">
        <w:rPr>
          <w:rFonts w:ascii="仿宋_GB2312" w:eastAsia="仿宋_GB2312" w:hAnsi="Arial" w:cs="仿宋_GB2312" w:hint="eastAsia"/>
          <w:color w:val="333333"/>
          <w:sz w:val="28"/>
          <w:szCs w:val="28"/>
        </w:rPr>
        <w:t>版）</w:t>
      </w:r>
    </w:p>
    <w:p w:rsidR="008436ED" w:rsidRDefault="003F19BF" w:rsidP="00D612C1">
      <w:pPr>
        <w:pStyle w:val="a3"/>
        <w:widowControl/>
        <w:adjustRightInd w:val="0"/>
        <w:snapToGrid w:val="0"/>
        <w:spacing w:beforeAutospacing="0" w:afterAutospacing="0" w:line="520" w:lineRule="exact"/>
        <w:ind w:firstLineChars="200" w:firstLine="560"/>
        <w:rPr>
          <w:rFonts w:ascii="仿宋_GB2312" w:eastAsia="仿宋_GB2312" w:hAnsi="Arial" w:cs="仿宋_GB2312"/>
          <w:color w:val="333333"/>
          <w:sz w:val="28"/>
          <w:szCs w:val="28"/>
        </w:rPr>
      </w:pPr>
      <w:r>
        <w:rPr>
          <w:rFonts w:ascii="仿宋_GB2312" w:eastAsia="仿宋_GB2312" w:hAnsi="Arial" w:cs="仿宋_GB2312" w:hint="eastAsia"/>
          <w:color w:val="333333"/>
          <w:sz w:val="28"/>
          <w:szCs w:val="28"/>
        </w:rPr>
        <w:t>2.</w:t>
      </w:r>
      <w:r w:rsidRPr="003F19BF">
        <w:rPr>
          <w:rFonts w:ascii="仿宋_GB2312" w:eastAsia="仿宋_GB2312" w:hAnsi="Arial" w:cs="仿宋_GB2312" w:hint="eastAsia"/>
          <w:color w:val="333333"/>
          <w:sz w:val="28"/>
          <w:szCs w:val="28"/>
        </w:rPr>
        <w:t>青岛理工大学</w:t>
      </w:r>
      <w:r>
        <w:rPr>
          <w:rFonts w:ascii="仿宋_GB2312" w:eastAsia="仿宋_GB2312" w:hAnsi="Arial" w:cs="仿宋_GB2312" w:hint="eastAsia"/>
          <w:color w:val="333333"/>
          <w:sz w:val="28"/>
          <w:szCs w:val="28"/>
        </w:rPr>
        <w:t>本科</w:t>
      </w:r>
      <w:r w:rsidRPr="003F19BF">
        <w:rPr>
          <w:rFonts w:ascii="仿宋_GB2312" w:eastAsia="仿宋_GB2312" w:hAnsi="Arial" w:cs="仿宋_GB2312" w:hint="eastAsia"/>
          <w:color w:val="333333"/>
          <w:sz w:val="28"/>
          <w:szCs w:val="28"/>
        </w:rPr>
        <w:t>课程评估自评</w:t>
      </w:r>
      <w:r>
        <w:rPr>
          <w:rFonts w:ascii="仿宋_GB2312" w:eastAsia="仿宋_GB2312" w:hAnsi="Arial" w:cs="仿宋_GB2312" w:hint="eastAsia"/>
          <w:color w:val="333333"/>
          <w:sz w:val="28"/>
          <w:szCs w:val="28"/>
        </w:rPr>
        <w:t>表</w:t>
      </w:r>
      <w:r w:rsidRPr="003F19BF">
        <w:rPr>
          <w:rFonts w:ascii="仿宋_GB2312" w:eastAsia="仿宋_GB2312" w:hAnsi="Arial" w:cs="仿宋_GB2312" w:hint="eastAsia"/>
          <w:color w:val="333333"/>
          <w:sz w:val="28"/>
          <w:szCs w:val="28"/>
        </w:rPr>
        <w:t>(模板）</w:t>
      </w:r>
    </w:p>
    <w:p w:rsidR="001126DE" w:rsidRPr="001126DE" w:rsidRDefault="001126DE" w:rsidP="00D612C1">
      <w:pPr>
        <w:pStyle w:val="a3"/>
        <w:widowControl/>
        <w:adjustRightInd w:val="0"/>
        <w:snapToGrid w:val="0"/>
        <w:spacing w:beforeAutospacing="0" w:afterAutospacing="0" w:line="520" w:lineRule="exact"/>
        <w:ind w:firstLineChars="200" w:firstLine="560"/>
        <w:rPr>
          <w:rFonts w:ascii="仿宋_GB2312" w:eastAsia="仿宋_GB2312" w:hAnsi="Arial" w:cs="仿宋_GB2312"/>
          <w:color w:val="333333"/>
          <w:sz w:val="28"/>
          <w:szCs w:val="28"/>
        </w:rPr>
      </w:pPr>
      <w:r>
        <w:rPr>
          <w:rFonts w:ascii="仿宋_GB2312" w:eastAsia="仿宋_GB2312" w:hAnsi="Arial" w:cs="仿宋_GB2312" w:hint="eastAsia"/>
          <w:color w:val="333333"/>
          <w:sz w:val="28"/>
          <w:szCs w:val="28"/>
        </w:rPr>
        <w:t xml:space="preserve">        3.</w:t>
      </w:r>
      <w:r w:rsidRPr="001126DE">
        <w:rPr>
          <w:rFonts w:ascii="仿宋_GB2312" w:eastAsia="仿宋_GB2312" w:hAnsi="Arial" w:cs="仿宋_GB2312" w:hint="eastAsia"/>
          <w:color w:val="333333"/>
          <w:sz w:val="28"/>
          <w:szCs w:val="28"/>
        </w:rPr>
        <w:t>2020年学院（部）推荐参评课程名单</w:t>
      </w:r>
    </w:p>
    <w:p w:rsidR="008436ED" w:rsidRPr="0061608F" w:rsidRDefault="00EC0126" w:rsidP="00D612C1">
      <w:pPr>
        <w:pStyle w:val="a3"/>
        <w:widowControl/>
        <w:adjustRightInd w:val="0"/>
        <w:snapToGrid w:val="0"/>
        <w:spacing w:beforeAutospacing="0" w:afterAutospacing="0" w:line="520" w:lineRule="exact"/>
        <w:ind w:firstLineChars="200" w:firstLine="640"/>
        <w:jc w:val="right"/>
        <w:rPr>
          <w:rFonts w:ascii="仿宋_GB2312" w:eastAsia="仿宋_GB2312" w:hAnsi="Arial" w:cs="仿宋_GB2312"/>
          <w:color w:val="333333"/>
          <w:sz w:val="28"/>
          <w:szCs w:val="28"/>
        </w:rPr>
      </w:pPr>
      <w:r>
        <w:rPr>
          <w:rFonts w:ascii="宋体" w:eastAsia="宋体" w:hAnsi="宋体" w:cs="宋体" w:hint="eastAsia"/>
          <w:color w:val="333333"/>
          <w:sz w:val="32"/>
          <w:szCs w:val="32"/>
        </w:rPr>
        <w:t xml:space="preserve">                                 </w:t>
      </w:r>
      <w:r w:rsidRPr="0061608F">
        <w:rPr>
          <w:rFonts w:ascii="仿宋_GB2312" w:eastAsia="仿宋_GB2312" w:hAnsi="Arial" w:cs="仿宋_GB2312" w:hint="eastAsia"/>
          <w:color w:val="333333"/>
          <w:sz w:val="28"/>
          <w:szCs w:val="28"/>
        </w:rPr>
        <w:t>青岛理工大学教务处</w:t>
      </w:r>
    </w:p>
    <w:p w:rsidR="008436ED" w:rsidRPr="0061608F" w:rsidRDefault="00EC0126" w:rsidP="00D612C1">
      <w:pPr>
        <w:pStyle w:val="a3"/>
        <w:widowControl/>
        <w:adjustRightInd w:val="0"/>
        <w:snapToGrid w:val="0"/>
        <w:spacing w:beforeAutospacing="0" w:afterAutospacing="0" w:line="520" w:lineRule="exact"/>
        <w:ind w:firstLineChars="200" w:firstLine="640"/>
        <w:jc w:val="right"/>
        <w:rPr>
          <w:rFonts w:ascii="仿宋_GB2312" w:eastAsia="仿宋_GB2312" w:hAnsi="Arial" w:cs="仿宋_GB2312"/>
          <w:color w:val="333333"/>
          <w:sz w:val="28"/>
          <w:szCs w:val="28"/>
        </w:rPr>
      </w:pPr>
      <w:r>
        <w:rPr>
          <w:rFonts w:ascii="宋体" w:eastAsia="宋体" w:hAnsi="宋体" w:cs="宋体" w:hint="eastAsia"/>
          <w:color w:val="333333"/>
          <w:sz w:val="32"/>
          <w:szCs w:val="32"/>
        </w:rPr>
        <w:t>                               </w:t>
      </w:r>
      <w:r w:rsidR="0061608F" w:rsidRPr="0061608F">
        <w:rPr>
          <w:rFonts w:ascii="仿宋_GB2312" w:eastAsia="仿宋_GB2312" w:hAnsi="Arial" w:cs="仿宋_GB2312" w:hint="eastAsia"/>
          <w:color w:val="333333"/>
          <w:sz w:val="28"/>
          <w:szCs w:val="28"/>
        </w:rPr>
        <w:t>2020</w:t>
      </w:r>
      <w:r w:rsidRPr="0061608F">
        <w:rPr>
          <w:rFonts w:ascii="仿宋_GB2312" w:eastAsia="仿宋_GB2312" w:hAnsi="Arial" w:cs="仿宋_GB2312"/>
          <w:color w:val="333333"/>
          <w:sz w:val="28"/>
          <w:szCs w:val="28"/>
        </w:rPr>
        <w:t>年</w:t>
      </w:r>
      <w:r w:rsidR="0061608F" w:rsidRPr="0061608F">
        <w:rPr>
          <w:rFonts w:ascii="仿宋_GB2312" w:eastAsia="仿宋_GB2312" w:hAnsi="Arial" w:cs="仿宋_GB2312" w:hint="eastAsia"/>
          <w:color w:val="333333"/>
          <w:sz w:val="28"/>
          <w:szCs w:val="28"/>
        </w:rPr>
        <w:t>3</w:t>
      </w:r>
      <w:r w:rsidRPr="0061608F">
        <w:rPr>
          <w:rFonts w:ascii="仿宋_GB2312" w:eastAsia="仿宋_GB2312" w:hAnsi="Arial" w:cs="仿宋_GB2312"/>
          <w:color w:val="333333"/>
          <w:sz w:val="28"/>
          <w:szCs w:val="28"/>
        </w:rPr>
        <w:t>月</w:t>
      </w:r>
      <w:r w:rsidR="00480404">
        <w:rPr>
          <w:rFonts w:ascii="仿宋_GB2312" w:eastAsia="仿宋_GB2312" w:hAnsi="Arial" w:cs="仿宋_GB2312" w:hint="eastAsia"/>
          <w:color w:val="333333"/>
          <w:sz w:val="28"/>
          <w:szCs w:val="28"/>
        </w:rPr>
        <w:t>30</w:t>
      </w:r>
      <w:bookmarkStart w:id="0" w:name="_GoBack"/>
      <w:bookmarkEnd w:id="0"/>
      <w:r w:rsidRPr="0061608F">
        <w:rPr>
          <w:rFonts w:ascii="仿宋_GB2312" w:eastAsia="仿宋_GB2312" w:hAnsi="Arial" w:cs="仿宋_GB2312"/>
          <w:color w:val="333333"/>
          <w:sz w:val="28"/>
          <w:szCs w:val="28"/>
        </w:rPr>
        <w:t xml:space="preserve">日 </w:t>
      </w:r>
    </w:p>
    <w:p w:rsidR="008436ED" w:rsidRDefault="008436ED"/>
    <w:sectPr w:rsidR="008436ED" w:rsidSect="00B815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4C7D" w:rsidRDefault="00014C7D" w:rsidP="00EA54F1">
      <w:r>
        <w:separator/>
      </w:r>
    </w:p>
  </w:endnote>
  <w:endnote w:type="continuationSeparator" w:id="1">
    <w:p w:rsidR="00014C7D" w:rsidRDefault="00014C7D" w:rsidP="00EA54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4C7D" w:rsidRDefault="00014C7D" w:rsidP="00EA54F1">
      <w:r>
        <w:separator/>
      </w:r>
    </w:p>
  </w:footnote>
  <w:footnote w:type="continuationSeparator" w:id="1">
    <w:p w:rsidR="00014C7D" w:rsidRDefault="00014C7D" w:rsidP="00EA54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3B3E48"/>
    <w:multiLevelType w:val="hybridMultilevel"/>
    <w:tmpl w:val="4C64E950"/>
    <w:lvl w:ilvl="0" w:tplc="45DC64C4">
      <w:start w:val="1"/>
      <w:numFmt w:val="japaneseCounting"/>
      <w:lvlText w:val="（%1）"/>
      <w:lvlJc w:val="left"/>
      <w:pPr>
        <w:ind w:left="1445" w:hanging="88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72125F39"/>
    <w:multiLevelType w:val="hybridMultilevel"/>
    <w:tmpl w:val="6744FD7A"/>
    <w:lvl w:ilvl="0" w:tplc="46569EA4">
      <w:start w:val="1"/>
      <w:numFmt w:val="japaneseCounting"/>
      <w:lvlText w:val="%1、"/>
      <w:lvlJc w:val="left"/>
      <w:pPr>
        <w:ind w:left="1288" w:hanging="720"/>
      </w:pPr>
      <w:rPr>
        <w:rFonts w:ascii="黑体" w:eastAsia="黑体" w:hAnsi="宋体" w:cs="黑体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514" w:hanging="420"/>
      </w:pPr>
    </w:lvl>
    <w:lvl w:ilvl="2" w:tplc="0409001B" w:tentative="1">
      <w:start w:val="1"/>
      <w:numFmt w:val="lowerRoman"/>
      <w:lvlText w:val="%3."/>
      <w:lvlJc w:val="right"/>
      <w:pPr>
        <w:ind w:left="1934" w:hanging="420"/>
      </w:pPr>
    </w:lvl>
    <w:lvl w:ilvl="3" w:tplc="0409000F" w:tentative="1">
      <w:start w:val="1"/>
      <w:numFmt w:val="decimal"/>
      <w:lvlText w:val="%4."/>
      <w:lvlJc w:val="left"/>
      <w:pPr>
        <w:ind w:left="2354" w:hanging="420"/>
      </w:pPr>
    </w:lvl>
    <w:lvl w:ilvl="4" w:tplc="04090019" w:tentative="1">
      <w:start w:val="1"/>
      <w:numFmt w:val="lowerLetter"/>
      <w:lvlText w:val="%5)"/>
      <w:lvlJc w:val="left"/>
      <w:pPr>
        <w:ind w:left="2774" w:hanging="420"/>
      </w:pPr>
    </w:lvl>
    <w:lvl w:ilvl="5" w:tplc="0409001B" w:tentative="1">
      <w:start w:val="1"/>
      <w:numFmt w:val="lowerRoman"/>
      <w:lvlText w:val="%6."/>
      <w:lvlJc w:val="right"/>
      <w:pPr>
        <w:ind w:left="3194" w:hanging="420"/>
      </w:pPr>
    </w:lvl>
    <w:lvl w:ilvl="6" w:tplc="0409000F" w:tentative="1">
      <w:start w:val="1"/>
      <w:numFmt w:val="decimal"/>
      <w:lvlText w:val="%7."/>
      <w:lvlJc w:val="left"/>
      <w:pPr>
        <w:ind w:left="3614" w:hanging="420"/>
      </w:pPr>
    </w:lvl>
    <w:lvl w:ilvl="7" w:tplc="04090019" w:tentative="1">
      <w:start w:val="1"/>
      <w:numFmt w:val="lowerLetter"/>
      <w:lvlText w:val="%8)"/>
      <w:lvlJc w:val="left"/>
      <w:pPr>
        <w:ind w:left="4034" w:hanging="420"/>
      </w:pPr>
    </w:lvl>
    <w:lvl w:ilvl="8" w:tplc="0409001B" w:tentative="1">
      <w:start w:val="1"/>
      <w:numFmt w:val="lowerRoman"/>
      <w:lvlText w:val="%9."/>
      <w:lvlJc w:val="right"/>
      <w:pPr>
        <w:ind w:left="4454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436ED"/>
    <w:rsid w:val="00014C7D"/>
    <w:rsid w:val="00022619"/>
    <w:rsid w:val="000A72EE"/>
    <w:rsid w:val="001126DE"/>
    <w:rsid w:val="00187DF4"/>
    <w:rsid w:val="00196EE9"/>
    <w:rsid w:val="001C48AC"/>
    <w:rsid w:val="002641E9"/>
    <w:rsid w:val="00274367"/>
    <w:rsid w:val="002C3167"/>
    <w:rsid w:val="002C3B7D"/>
    <w:rsid w:val="003B1267"/>
    <w:rsid w:val="003B14C0"/>
    <w:rsid w:val="003C632E"/>
    <w:rsid w:val="003F19BF"/>
    <w:rsid w:val="00480404"/>
    <w:rsid w:val="004A123A"/>
    <w:rsid w:val="004D2716"/>
    <w:rsid w:val="0054354C"/>
    <w:rsid w:val="00560C94"/>
    <w:rsid w:val="0061608F"/>
    <w:rsid w:val="00625FE4"/>
    <w:rsid w:val="0063415A"/>
    <w:rsid w:val="00680B31"/>
    <w:rsid w:val="00773F31"/>
    <w:rsid w:val="007F41B5"/>
    <w:rsid w:val="008436ED"/>
    <w:rsid w:val="008821E7"/>
    <w:rsid w:val="008A618B"/>
    <w:rsid w:val="008B02F7"/>
    <w:rsid w:val="00A405C7"/>
    <w:rsid w:val="00A40A3A"/>
    <w:rsid w:val="00A935C7"/>
    <w:rsid w:val="00B815C2"/>
    <w:rsid w:val="00C44A88"/>
    <w:rsid w:val="00C56217"/>
    <w:rsid w:val="00CB148B"/>
    <w:rsid w:val="00D519A7"/>
    <w:rsid w:val="00D612C1"/>
    <w:rsid w:val="00E142A3"/>
    <w:rsid w:val="00E27A3C"/>
    <w:rsid w:val="00E95375"/>
    <w:rsid w:val="00EA54F1"/>
    <w:rsid w:val="00EC0126"/>
    <w:rsid w:val="00FE7B70"/>
    <w:rsid w:val="168F3E2C"/>
    <w:rsid w:val="366D4EFC"/>
    <w:rsid w:val="3A773C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15C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B815C2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Hyperlink"/>
    <w:basedOn w:val="a0"/>
    <w:qFormat/>
    <w:rsid w:val="00B815C2"/>
    <w:rPr>
      <w:color w:val="333333"/>
      <w:u w:val="none"/>
    </w:rPr>
  </w:style>
  <w:style w:type="paragraph" w:styleId="a5">
    <w:name w:val="header"/>
    <w:basedOn w:val="a"/>
    <w:link w:val="Char"/>
    <w:rsid w:val="00EA54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EA54F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EA54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EA54F1"/>
    <w:rPr>
      <w:rFonts w:asciiTheme="minorHAnsi" w:eastAsiaTheme="minorEastAsia" w:hAnsiTheme="minorHAnsi" w:cstheme="minorBidi"/>
      <w:kern w:val="2"/>
      <w:sz w:val="18"/>
      <w:szCs w:val="18"/>
    </w:rPr>
  </w:style>
  <w:style w:type="table" w:styleId="a7">
    <w:name w:val="Table Grid"/>
    <w:basedOn w:val="a1"/>
    <w:uiPriority w:val="59"/>
    <w:rsid w:val="003B1267"/>
    <w:rPr>
      <w:rFonts w:ascii="Calibri" w:hAnsi="Calibr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Hyperlink"/>
    <w:basedOn w:val="a0"/>
    <w:qFormat/>
    <w:rPr>
      <w:color w:val="333333"/>
      <w:u w:val="none"/>
    </w:rPr>
  </w:style>
  <w:style w:type="paragraph" w:styleId="a5">
    <w:name w:val="header"/>
    <w:basedOn w:val="a"/>
    <w:link w:val="Char"/>
    <w:rsid w:val="00EA54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EA54F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EA54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EA54F1"/>
    <w:rPr>
      <w:rFonts w:asciiTheme="minorHAnsi" w:eastAsiaTheme="minorEastAsia" w:hAnsiTheme="minorHAnsi" w:cstheme="minorBidi"/>
      <w:kern w:val="2"/>
      <w:sz w:val="18"/>
      <w:szCs w:val="18"/>
    </w:rPr>
  </w:style>
  <w:style w:type="table" w:styleId="a7">
    <w:name w:val="Table Grid"/>
    <w:basedOn w:val="a1"/>
    <w:uiPriority w:val="59"/>
    <w:rsid w:val="003B1267"/>
    <w:rPr>
      <w:rFonts w:ascii="Calibri" w:hAnsi="Calibr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5152;&#26377;&#26448;&#26009;&#65288;&#25512;&#33616;&#21442;&#35780;&#35838;&#31243;&#21517;&#21333;&#12289;&#35838;&#31243;&#33258;&#35780;&#34920;&#21450;&#25903;&#25745;&#26448;&#26009;&#65289;&#30005;&#23376;&#29256;&#20110;&#35268;&#23450;&#26102;&#38388;&#21457;&#36865;&#33267;&#37038;&#31665;13625327996@163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300</Words>
  <Characters>1710</Characters>
  <Application>Microsoft Office Word</Application>
  <DocSecurity>0</DocSecurity>
  <Lines>14</Lines>
  <Paragraphs>4</Paragraphs>
  <ScaleCrop>false</ScaleCrop>
  <Company/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刘芳</cp:lastModifiedBy>
  <cp:revision>33</cp:revision>
  <dcterms:created xsi:type="dcterms:W3CDTF">2014-10-29T12:08:00Z</dcterms:created>
  <dcterms:modified xsi:type="dcterms:W3CDTF">2020-04-03T07:25:00Z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