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562" w:firstLineChars="200"/>
        <w:jc w:val="left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附件：青岛理工大学本科课程评估指标体系（202</w:t>
      </w: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eastAsia" w:ascii="Calibri" w:hAnsi="Calibri" w:eastAsia="宋体" w:cs="Times New Roman"/>
          <w:b/>
          <w:bCs/>
          <w:sz w:val="28"/>
          <w:szCs w:val="28"/>
        </w:rPr>
        <w:t>版）</w:t>
      </w:r>
    </w:p>
    <w:tbl>
      <w:tblPr>
        <w:tblStyle w:val="6"/>
        <w:tblW w:w="49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54"/>
        <w:gridCol w:w="9724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一级</w:t>
            </w:r>
          </w:p>
          <w:p>
            <w:pPr>
              <w:adjustRightInd w:val="0"/>
              <w:spacing w:line="360" w:lineRule="exact"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482"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</w:rPr>
              <w:t>建设标准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Calibri" w:hAnsi="Calibri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300" w:lineRule="exac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课程定位与目标</w:t>
            </w:r>
          </w:p>
          <w:p>
            <w:pPr>
              <w:adjustRightInd w:val="0"/>
              <w:spacing w:line="3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20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1.1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课程定位（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10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8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课程定位与人才培养目标相适应，符合专业人才培养要求；</w:t>
            </w:r>
          </w:p>
          <w:p>
            <w:pPr>
              <w:tabs>
                <w:tab w:val="left" w:pos="312"/>
              </w:tabs>
              <w:adjustRightInd w:val="0"/>
              <w:spacing w:line="28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准确定位课程在课程体系中的地位和作用。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8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4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1.2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课程目标（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10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8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有明确的、与学生毕业要求相适应的课程目标，课程有效支撑学生某些知识、能力的培养；</w:t>
            </w:r>
          </w:p>
          <w:p>
            <w:pPr>
              <w:tabs>
                <w:tab w:val="left" w:pos="312"/>
              </w:tabs>
              <w:adjustRightInd w:val="0"/>
              <w:spacing w:line="28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正确处理各种课程之间的衔接关系。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8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4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2.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教学团队（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2.1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教师风范（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5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主讲教师师德好，为人师表，言传身教，严谨教学，认真履行岗位职责，严格遵守教学纪律。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  <w:jc w:val="center"/>
        </w:trPr>
        <w:tc>
          <w:tcPr>
            <w:tcW w:w="42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2.2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团队建设（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10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1</w:t>
            </w:r>
            <w:r>
              <w:rPr>
                <w:rFonts w:ascii="Calibri" w:hAnsi="Calibri" w:eastAsia="宋体" w:cs="Times New Roman"/>
                <w:color w:val="auto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课程负责人对本课程建设及教学教改等职责履行情况良好。</w:t>
            </w:r>
          </w:p>
          <w:p>
            <w:pPr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Cs w:val="21"/>
              </w:rPr>
              <w:t>2.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教学团队人员年龄、职称、学缘、知识等方面结构合理，公共基础课程团队人数一般不少于5人，核心课程团队人数不少于</w:t>
            </w:r>
            <w:r>
              <w:rPr>
                <w:rFonts w:ascii="Calibri" w:hAnsi="Calibri" w:eastAsia="宋体" w:cs="Times New Roman"/>
                <w:color w:val="auto"/>
                <w:kern w:val="0"/>
                <w:szCs w:val="21"/>
              </w:rPr>
              <w:t>2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人，团队教师教学任务分配合理，效果好；</w:t>
            </w:r>
          </w:p>
          <w:p>
            <w:pPr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kern w:val="0"/>
                <w:szCs w:val="21"/>
              </w:rPr>
              <w:t>3.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主讲教师一般应具有高级职称或相关专业博士学位，学习或工作经历与所授课程相关性高，具有较丰富的教学经验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专业课主讲教师一般应具有</w:t>
            </w:r>
            <w:r>
              <w:rPr>
                <w:rFonts w:ascii="Calibri" w:hAnsi="Calibri" w:eastAsia="宋体" w:cs="Times New Roman"/>
                <w:color w:val="auto"/>
                <w:kern w:val="0"/>
                <w:szCs w:val="21"/>
              </w:rPr>
              <w:t>6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个月以上的专业实践经历；含实验环节的课程，实验教学队伍人员完备，教学能力强。</w:t>
            </w:r>
          </w:p>
          <w:p>
            <w:pPr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4</w:t>
            </w:r>
            <w:r>
              <w:rPr>
                <w:rFonts w:ascii="Calibri" w:hAnsi="Calibri" w:eastAsia="宋体" w:cs="Times New Roman"/>
                <w:color w:val="auto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注重自我发展，近三年积极参加相关培训、学习、竞赛；</w:t>
            </w:r>
          </w:p>
          <w:p>
            <w:pPr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5</w:t>
            </w:r>
            <w:r>
              <w:rPr>
                <w:rFonts w:ascii="Calibri" w:hAnsi="Calibri" w:eastAsia="宋体" w:cs="Times New Roman"/>
                <w:color w:val="auto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教学团队成员积极开展课程建设相关活动，每学期10次以上，有活动记录。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42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2.3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教师教学能力与投入（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ind w:left="315" w:hanging="315" w:hangingChars="150"/>
              <w:rPr>
                <w:rFonts w:ascii="宋体" w:hAnsi="宋体" w:eastAsia="宋体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kern w:val="0"/>
                <w:szCs w:val="21"/>
              </w:rPr>
              <w:t>1.教学团队教师的教学、科研实力强；</w:t>
            </w:r>
          </w:p>
          <w:p>
            <w:pPr>
              <w:adjustRightInd w:val="0"/>
              <w:spacing w:line="240" w:lineRule="exact"/>
              <w:jc w:val="left"/>
              <w:rPr>
                <w:rFonts w:hint="default" w:ascii="Calibri" w:hAnsi="Calibri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  <w:lang w:val="en-US" w:eastAsia="zh-CN"/>
              </w:rPr>
              <w:t>教学团队积极将产业技术发展成果、科研成果、产学研合作项目等转化为教学资源；</w:t>
            </w:r>
          </w:p>
          <w:p>
            <w:pPr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3.教授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副教授为本科生上课比例</w:t>
            </w:r>
            <w:r>
              <w:rPr>
                <w:rFonts w:ascii="Calibri" w:hAnsi="Calibri" w:eastAsia="宋体" w:cs="Times New Roman"/>
                <w:color w:val="auto"/>
                <w:kern w:val="0"/>
                <w:szCs w:val="21"/>
              </w:rPr>
              <w:t>100%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；师均承担本课程教学工作量每年不少于16学时.班，且教学评价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  <w:lang w:eastAsia="zh-CN"/>
              </w:rPr>
              <w:t>良好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</w:rPr>
              <w:t>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4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2.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青年教师培养（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5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教学团队认真执行传帮带制度和听课制度，积极开展课程教学检查活动；</w:t>
            </w:r>
            <w:bookmarkStart w:id="0" w:name="_GoBack"/>
            <w:bookmarkEnd w:id="0"/>
          </w:p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教学团队青年教师助课制执行好；</w:t>
            </w:r>
          </w:p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教学团队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45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岁以下教师后续教育（含研究生进修班、硕士生、博士生、国内外访问学者、外出短期培训）执行好。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4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3.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课程目标实现过程（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3.1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课程教学总体设计（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5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1.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课程教学大纲体现了目标、能力导向的理念，有明确的对学生能力培养的教学设计和考核内容与方式要求；</w:t>
            </w:r>
          </w:p>
          <w:p>
            <w:pPr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2.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能够较好体现和检验学生课程目标的达成。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4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3.2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课程思政（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5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课程思政反映在教学大纲和教案中，且成效显著；</w:t>
            </w:r>
          </w:p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入选各级课程思政示范课程或课程思政立项建设课程。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  <w:jc w:val="center"/>
        </w:trPr>
        <w:tc>
          <w:tcPr>
            <w:tcW w:w="4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3.3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理论（实验实践）教学环节（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.理论教学环节：有详细的教学大纲以及能体现课程教学过程和目标落实的教案；善于灵活运用多种先进的教学方法，如问题引导式、讨论式、研究式，促进学生积极思考，激发学生的潜能，有效调动学生的学习积极性；积极有效运用现代信息技术手段辅助教学，教学效果良好。</w:t>
            </w:r>
          </w:p>
          <w:p>
            <w:pPr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.实验实践教学环节：重视实践教学体系建设，实践教学内容与理论课结合紧密，能根据专业发展需要及时更新；实践教学内容体系设计科学合理，有一定数量的综合性、设计性、研究创新型实验项目，有效提高学生的实践能力和创新能力；对于开设实验课时较少或未开设实验的课程，安排组织学生进行各种社会实践活动的课外计划并有效实施，学生能运用本课程所学知识解决问题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4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3.4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课后拓展与辅导（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5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按教学要求合理布置作业并认真批改，批改率达到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100%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（大课堂的课程可分批达到批改全覆盖），能及时反馈；</w:t>
            </w:r>
          </w:p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能采取多种形式及时进行课外辅导和答疑，每学期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3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次以上，效果好，有相应记载。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4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4.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教学资源与学习支持（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10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4.1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教材建设与选用（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3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课程选用规划教材或同行公认的优秀教材、特色教材，教材内容符合专业人才培养要求和教学大纲要求，学生选用好；在马工程重点教材的选用范围内的选用马工程重点教材；</w:t>
            </w:r>
          </w:p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注重教材建设工作，主讲教师能够主编或参编本课程相关教材或参考书，主编面向行业企业实际、产业发展需要的高水平应用型教材。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4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4.2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教学资源与利用（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4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不断优化并更新课程资源，在课程资源的数字化、网络化和开放共享等方面取得一定成效；</w:t>
            </w:r>
          </w:p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积极为学生提供内容丰富的拓展学习资源（包括在线课程、各种音频视频资源等）；</w:t>
            </w:r>
          </w:p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积极建设行业企业课程资源库、真实项目案例库，共享面大。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4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4.3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学生学习支持（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3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关注学生的学习情况，通过课后交流、网络指导等方式为学生学习提供支持；</w:t>
            </w:r>
          </w:p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除课堂教学外，积极组织学生参与课程相关的科研项目、创新创业实验、技能竞赛等课外实践活动，并给予指导和帮助。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5.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课程目标达成评价（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10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5.1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理论课程考核及实验实践教学环节考核（10）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课程（环节）考核方式及内容能较好支撑课程目标的达成；课程（环节）考核标准科学、有效；</w:t>
            </w:r>
          </w:p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积极探索课程考核方式改革，注重对学生平时表现、知识运用能力、综合能力等方面的考核。在教考分离、过程考核、题库建设等方面取得一定成效；</w:t>
            </w:r>
          </w:p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对课程考试试卷命题质量有严格的控制，并对阅卷评分标准等有合理、规范的规定；</w:t>
            </w:r>
          </w:p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4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教师执行严格，效果好。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6.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教学质量监控（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10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6.1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过程控制与反馈（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10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课程建有畅通的学生对课程教学和学习状况的反馈渠道；</w:t>
            </w:r>
          </w:p>
          <w:p>
            <w:pPr>
              <w:tabs>
                <w:tab w:val="left" w:pos="312"/>
              </w:tabs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多种形式对课程目标达成度进行评价（如成绩、学生课后座谈、课程教学研讨、任课教师对课程教学的反思等）；</w:t>
            </w:r>
          </w:p>
          <w:p>
            <w:pPr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教学团队重视分析与改进，根据课程教学开展情况、学生成绩、教学信息反馈等及时进行课程教学效果分析，认真撰写试卷分析、课程评价报告等总结材料，改进措施合理有效，能够持续改进。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7.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特色项目（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10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加分项（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10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）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在课程建设思路、教学内容、教学设计、教学方法和手段、教学模式、实践教学环节以及与企业（行业）共建或共同讲授等方面具有一定特色，对提高教学质量作用大，效果明显，示范性强。</w:t>
            </w:r>
          </w:p>
        </w:tc>
        <w:tc>
          <w:tcPr>
            <w:tcW w:w="6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hint="eastAsia" w:ascii="Calibri" w:hAnsi="Calibri" w:eastAsia="宋体" w:cs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left="420" w:leftChars="200"/>
        <w:jc w:val="left"/>
        <w:rPr>
          <w:rFonts w:ascii="Calibri" w:hAnsi="Calibri" w:eastAsia="宋体" w:cs="Times New Roman"/>
          <w:kern w:val="0"/>
          <w:szCs w:val="21"/>
        </w:rPr>
      </w:pPr>
      <w:r>
        <w:rPr>
          <w:rFonts w:hint="eastAsia" w:ascii="Calibri" w:hAnsi="Calibri" w:eastAsia="宋体" w:cs="Times New Roman"/>
          <w:kern w:val="0"/>
          <w:szCs w:val="21"/>
        </w:rPr>
        <w:t>说明：</w:t>
      </w:r>
      <w:r>
        <w:rPr>
          <w:rFonts w:hint="eastAsia" w:ascii="Calibri" w:hAnsi="Calibri" w:eastAsia="宋体" w:cs="Times New Roman"/>
          <w:kern w:val="0"/>
          <w:szCs w:val="21"/>
          <w:lang w:val="en-US" w:eastAsia="zh-CN"/>
        </w:rPr>
        <w:t>1、</w:t>
      </w:r>
      <w:r>
        <w:rPr>
          <w:rFonts w:hint="eastAsia" w:ascii="Calibri" w:hAnsi="Calibri" w:eastAsia="宋体" w:cs="Times New Roman"/>
          <w:kern w:val="0"/>
          <w:szCs w:val="21"/>
        </w:rPr>
        <w:t>总分（不含特色项目）计算：M=∑Ki，其中Ki为各二级指标的分值。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1050" w:firstLineChars="500"/>
        <w:rPr>
          <w:rFonts w:hint="eastAsia" w:ascii="Calibri" w:hAnsi="Calibri" w:eastAsia="宋体" w:cs="Times New Roman"/>
          <w:kern w:val="0"/>
          <w:szCs w:val="21"/>
        </w:rPr>
      </w:pPr>
      <w:r>
        <w:rPr>
          <w:rFonts w:hint="eastAsia" w:ascii="Calibri" w:hAnsi="Calibri" w:eastAsia="宋体" w:cs="Times New Roman"/>
          <w:kern w:val="0"/>
          <w:szCs w:val="21"/>
        </w:rPr>
        <w:t>M≥90分，课程等级为A；80≤M＜90分，课程等级为B；70≤M＜80分，课程等级为C；M＜70分，课程等级为D。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Calibri" w:hAnsi="Calibri" w:eastAsia="宋体" w:cs="Times New Roman"/>
          <w:b/>
          <w:bCs/>
          <w:strike/>
          <w:dstrike w:val="0"/>
          <w:color w:val="FF0000"/>
          <w:kern w:val="0"/>
          <w:szCs w:val="21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4245B"/>
    <w:multiLevelType w:val="singleLevel"/>
    <w:tmpl w:val="6124245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ZDk5YjNiMjE2ZjgxODE4MDY5ZTg3MTQyMTIwZDIifQ=="/>
  </w:docVars>
  <w:rsids>
    <w:rsidRoot w:val="00B96529"/>
    <w:rsid w:val="000479FC"/>
    <w:rsid w:val="00106688"/>
    <w:rsid w:val="00112928"/>
    <w:rsid w:val="001E3E88"/>
    <w:rsid w:val="00227844"/>
    <w:rsid w:val="002F12A6"/>
    <w:rsid w:val="00340425"/>
    <w:rsid w:val="003B53CC"/>
    <w:rsid w:val="003C4049"/>
    <w:rsid w:val="00400169"/>
    <w:rsid w:val="004233D3"/>
    <w:rsid w:val="00525691"/>
    <w:rsid w:val="00552EEA"/>
    <w:rsid w:val="005626B6"/>
    <w:rsid w:val="005A5721"/>
    <w:rsid w:val="0066718A"/>
    <w:rsid w:val="006E183C"/>
    <w:rsid w:val="00716599"/>
    <w:rsid w:val="007344DC"/>
    <w:rsid w:val="0079504F"/>
    <w:rsid w:val="007A34BE"/>
    <w:rsid w:val="007E25C7"/>
    <w:rsid w:val="00855971"/>
    <w:rsid w:val="00964AD2"/>
    <w:rsid w:val="009925FC"/>
    <w:rsid w:val="00A00669"/>
    <w:rsid w:val="00A47F19"/>
    <w:rsid w:val="00A76DC2"/>
    <w:rsid w:val="00B96529"/>
    <w:rsid w:val="00BD7FE9"/>
    <w:rsid w:val="00C13888"/>
    <w:rsid w:val="00C5349C"/>
    <w:rsid w:val="00D14F82"/>
    <w:rsid w:val="00D81A0A"/>
    <w:rsid w:val="00E11F93"/>
    <w:rsid w:val="00EB09EA"/>
    <w:rsid w:val="00EB3DD6"/>
    <w:rsid w:val="00F4416C"/>
    <w:rsid w:val="00F53655"/>
    <w:rsid w:val="0490103C"/>
    <w:rsid w:val="078C764F"/>
    <w:rsid w:val="0A8605FC"/>
    <w:rsid w:val="0DA158CB"/>
    <w:rsid w:val="1F4D3866"/>
    <w:rsid w:val="254D02A7"/>
    <w:rsid w:val="2D1D2939"/>
    <w:rsid w:val="2EB778DB"/>
    <w:rsid w:val="319757D5"/>
    <w:rsid w:val="4000438F"/>
    <w:rsid w:val="40343C03"/>
    <w:rsid w:val="46A76BFC"/>
    <w:rsid w:val="46C7160E"/>
    <w:rsid w:val="4BDA5E80"/>
    <w:rsid w:val="569F6F74"/>
    <w:rsid w:val="56AB4E6E"/>
    <w:rsid w:val="597B2FC1"/>
    <w:rsid w:val="5AD0449A"/>
    <w:rsid w:val="6E3744BD"/>
    <w:rsid w:val="78CA215D"/>
    <w:rsid w:val="78DB43D9"/>
    <w:rsid w:val="7A6335B5"/>
    <w:rsid w:val="7B774C2D"/>
    <w:rsid w:val="7DC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2321</Words>
  <Characters>2444</Characters>
  <Lines>18</Lines>
  <Paragraphs>5</Paragraphs>
  <TotalTime>32</TotalTime>
  <ScaleCrop>false</ScaleCrop>
  <LinksUpToDate>false</LinksUpToDate>
  <CharactersWithSpaces>2444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2020-03-04T00:51:00Z</dcterms:created>
  <dc:creator>邵景玲</dc:creator>
  <cp:lastModifiedBy>c l</cp:lastModifiedBy>
  <cp:lastPrinted>2020-03-04T03:04:00Z</cp:lastPrinted>
  <dcterms:modified xsi:type="dcterms:W3CDTF">2024-03-14T02:32:39Z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7309580B450A4294A40A014D8678B44B_13</vt:lpwstr>
  </property>
</Properties>
</file>